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097D9A">
              <w:rPr>
                <w:rFonts w:eastAsia="Times New Roman"/>
                <w:color w:val="000000" w:themeColor="text1"/>
                <w:sz w:val="20"/>
                <w:szCs w:val="22"/>
              </w:rPr>
              <w:t>Aéronautique, aérospatiale,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81C7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97D9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81C7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097D9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81C7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E161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8E1614">
              <w:rPr>
                <w:rFonts w:eastAsia="Times New Roman"/>
                <w:color w:val="000000" w:themeColor="text1"/>
                <w:sz w:val="20"/>
                <w:szCs w:val="22"/>
              </w:rPr>
              <w:t>9</w:t>
            </w:r>
            <w:bookmarkStart w:id="0" w:name="_GoBack"/>
            <w:bookmarkEnd w:id="0"/>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097D9A" w:rsidRPr="00097D9A" w:rsidRDefault="00097D9A" w:rsidP="00097D9A">
      <w:pPr>
        <w:spacing w:after="0" w:line="240" w:lineRule="auto"/>
        <w:ind w:left="0"/>
        <w:rPr>
          <w:rFonts w:cs="Arial"/>
          <w:b/>
          <w:bCs/>
          <w:lang w:eastAsia="en-US"/>
        </w:rPr>
      </w:pPr>
      <w:r w:rsidRPr="00097D9A">
        <w:rPr>
          <w:rFonts w:cs="Arial"/>
          <w:b/>
          <w:bCs/>
          <w:lang w:eastAsia="en-US"/>
        </w:rPr>
        <w:lastRenderedPageBreak/>
        <w:t>Première partie : questions (sur 10 points)</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 xml:space="preserve"> </w:t>
      </w:r>
    </w:p>
    <w:p w:rsidR="00097D9A" w:rsidRPr="00097D9A" w:rsidRDefault="00097D9A" w:rsidP="00097D9A">
      <w:pPr>
        <w:spacing w:after="0" w:line="240" w:lineRule="auto"/>
        <w:ind w:left="0"/>
        <w:rPr>
          <w:rFonts w:cs="Arial"/>
          <w:bCs/>
          <w:lang w:eastAsia="en-US"/>
        </w:rPr>
      </w:pPr>
      <w:r w:rsidRPr="00097D9A">
        <w:rPr>
          <w:rFonts w:cs="Arial"/>
          <w:bCs/>
          <w:lang w:eastAsia="en-US"/>
        </w:rPr>
        <w:t>1. Citez deux événements qui font de l’année 1848 une année de rupture politique en France.</w:t>
      </w:r>
    </w:p>
    <w:p w:rsidR="00097D9A" w:rsidRPr="00097D9A" w:rsidRDefault="00097D9A" w:rsidP="00097D9A">
      <w:pPr>
        <w:spacing w:after="0" w:line="240" w:lineRule="auto"/>
        <w:ind w:left="0"/>
        <w:rPr>
          <w:rFonts w:cs="Arial"/>
          <w:bCs/>
          <w:lang w:eastAsia="en-US"/>
        </w:rPr>
      </w:pPr>
    </w:p>
    <w:p w:rsidR="00097D9A" w:rsidRPr="00097D9A" w:rsidRDefault="00097D9A" w:rsidP="00097D9A">
      <w:pPr>
        <w:spacing w:after="0" w:line="240" w:lineRule="auto"/>
        <w:ind w:left="0"/>
        <w:rPr>
          <w:rFonts w:cs="Arial"/>
          <w:bCs/>
          <w:lang w:eastAsia="en-US"/>
        </w:rPr>
      </w:pPr>
      <w:r w:rsidRPr="00097D9A">
        <w:rPr>
          <w:rFonts w:cs="Arial"/>
          <w:bCs/>
          <w:lang w:eastAsia="en-US"/>
        </w:rPr>
        <w:t xml:space="preserve">2. Justifiez l’affirmation suivante, en donnant deux arguments : « La France est un pays qui se modernise sous le Second Empire ». </w:t>
      </w:r>
    </w:p>
    <w:p w:rsidR="00097D9A" w:rsidRPr="00097D9A" w:rsidRDefault="00097D9A" w:rsidP="00097D9A">
      <w:pPr>
        <w:spacing w:after="0" w:line="240" w:lineRule="auto"/>
        <w:ind w:left="0"/>
        <w:rPr>
          <w:rFonts w:cs="Arial"/>
          <w:bCs/>
          <w:lang w:eastAsia="en-US"/>
        </w:rPr>
      </w:pPr>
    </w:p>
    <w:p w:rsidR="00097D9A" w:rsidRPr="00097D9A" w:rsidRDefault="00097D9A" w:rsidP="00097D9A">
      <w:pPr>
        <w:spacing w:after="0" w:line="240" w:lineRule="auto"/>
        <w:ind w:left="0"/>
        <w:rPr>
          <w:rFonts w:cs="Arial"/>
          <w:bCs/>
          <w:lang w:eastAsia="en-US"/>
        </w:rPr>
      </w:pPr>
      <w:r w:rsidRPr="00097D9A">
        <w:rPr>
          <w:rFonts w:cs="Arial"/>
          <w:bCs/>
          <w:lang w:eastAsia="en-US"/>
        </w:rPr>
        <w:t>3. Caractérisez le régime politique de Napoléon III. (Deux éléments attendus)</w:t>
      </w:r>
    </w:p>
    <w:p w:rsidR="00097D9A" w:rsidRPr="00097D9A" w:rsidRDefault="00097D9A" w:rsidP="00097D9A">
      <w:pPr>
        <w:spacing w:after="0" w:line="240" w:lineRule="auto"/>
        <w:ind w:left="0"/>
        <w:rPr>
          <w:rFonts w:cs="Arial"/>
          <w:bCs/>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4. Définissez le processus de métropolisation.</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 xml:space="preserve">5. Sur le fond de carte, </w:t>
      </w:r>
      <w:r w:rsidRPr="00097D9A">
        <w:rPr>
          <w:rFonts w:cs="Arial"/>
          <w:u w:val="single"/>
          <w:lang w:eastAsia="en-US"/>
        </w:rPr>
        <w:t>localisez</w:t>
      </w:r>
      <w:r w:rsidRPr="00097D9A">
        <w:rPr>
          <w:rFonts w:cs="Arial"/>
          <w:lang w:eastAsia="en-US"/>
        </w:rPr>
        <w:t xml:space="preserve"> et </w:t>
      </w:r>
      <w:r w:rsidRPr="00097D9A">
        <w:rPr>
          <w:rFonts w:cs="Arial"/>
          <w:u w:val="single"/>
          <w:lang w:eastAsia="en-US"/>
        </w:rPr>
        <w:t>nommez</w:t>
      </w:r>
      <w:r w:rsidRPr="00097D9A">
        <w:rPr>
          <w:rFonts w:cs="Arial"/>
          <w:lang w:eastAsia="en-US"/>
        </w:rPr>
        <w:t xml:space="preserve"> trois métropoles et une mégalopole. Complétez la légende.</w:t>
      </w:r>
      <w:r w:rsidRPr="00097D9A">
        <w:rPr>
          <w:rFonts w:eastAsia="Times New Roman" w:cs="Arial"/>
        </w:rPr>
        <w:fldChar w:fldCharType="begin"/>
      </w:r>
      <w:r w:rsidRPr="00097D9A">
        <w:rPr>
          <w:rFonts w:eastAsia="Times New Roman" w:cs="Arial"/>
        </w:rPr>
        <w:instrText xml:space="preserve"> INCLUDEPICTURE "C:\\var\\folders\\b2\\vpm72nps7wg_thhlnmz38t9r0000gn\\T\\com.microsoft.Word\\WebArchiveCopyPasteTempFiles\\centreeurope18.gif" \* MERGEFORMAT </w:instrText>
      </w:r>
      <w:r w:rsidRPr="00097D9A">
        <w:rPr>
          <w:rFonts w:eastAsia="Times New Roman" w:cs="Arial"/>
        </w:rPr>
        <w:fldChar w:fldCharType="end"/>
      </w:r>
    </w:p>
    <w:p w:rsidR="00097D9A" w:rsidRDefault="00097D9A">
      <w:pPr>
        <w:spacing w:after="0" w:line="240" w:lineRule="auto"/>
        <w:ind w:left="0"/>
        <w:rPr>
          <w:rFonts w:cs="Arial"/>
          <w:lang w:eastAsia="en-US"/>
        </w:rPr>
      </w:pPr>
      <w:r>
        <w:rPr>
          <w:rFonts w:cs="Arial"/>
          <w:lang w:eastAsia="en-US"/>
        </w:rPr>
        <w:br w:type="page"/>
      </w:r>
    </w:p>
    <w:p w:rsidR="00097D9A" w:rsidRPr="00097D9A" w:rsidRDefault="00097D9A" w:rsidP="00097D9A">
      <w:pPr>
        <w:spacing w:after="0" w:line="240" w:lineRule="auto"/>
        <w:ind w:left="0"/>
        <w:rPr>
          <w:rFonts w:cs="Arial"/>
          <w:lang w:eastAsia="en-US"/>
        </w:rPr>
      </w:pPr>
    </w:p>
    <w:tbl>
      <w:tblPr>
        <w:tblStyle w:val="Grilledutableau1"/>
        <w:tblW w:w="9640" w:type="dxa"/>
        <w:tblInd w:w="-147" w:type="dxa"/>
        <w:tblLook w:val="04A0" w:firstRow="1" w:lastRow="0" w:firstColumn="1" w:lastColumn="0" w:noHBand="0" w:noVBand="1"/>
      </w:tblPr>
      <w:tblGrid>
        <w:gridCol w:w="9816"/>
      </w:tblGrid>
      <w:tr w:rsidR="00097D9A" w:rsidRPr="00097D9A" w:rsidTr="00237406">
        <w:tc>
          <w:tcPr>
            <w:tcW w:w="9640" w:type="dxa"/>
          </w:tcPr>
          <w:p w:rsidR="00097D9A" w:rsidRPr="00097D9A" w:rsidRDefault="00097D9A" w:rsidP="00097D9A">
            <w:pPr>
              <w:spacing w:after="0" w:line="240" w:lineRule="auto"/>
              <w:ind w:left="0"/>
              <w:jc w:val="center"/>
              <w:rPr>
                <w:rFonts w:cs="Arial"/>
              </w:rPr>
            </w:pPr>
            <w:r w:rsidRPr="00097D9A">
              <w:rPr>
                <w:rFonts w:cs="Arial"/>
                <w:noProof/>
              </w:rPr>
              <w:drawing>
                <wp:inline distT="0" distB="0" distL="0" distR="0" wp14:anchorId="1BACC357" wp14:editId="4DCE9A3A">
                  <wp:extent cx="6090700" cy="4041112"/>
                  <wp:effectExtent l="0" t="0" r="571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04850" cy="4050500"/>
                          </a:xfrm>
                          <a:prstGeom prst="rect">
                            <a:avLst/>
                          </a:prstGeom>
                        </pic:spPr>
                      </pic:pic>
                    </a:graphicData>
                  </a:graphic>
                </wp:inline>
              </w:drawing>
            </w:r>
          </w:p>
        </w:tc>
      </w:tr>
      <w:tr w:rsidR="00097D9A" w:rsidRPr="00097D9A" w:rsidTr="00237406">
        <w:tc>
          <w:tcPr>
            <w:tcW w:w="9640" w:type="dxa"/>
          </w:tcPr>
          <w:p w:rsidR="00097D9A" w:rsidRPr="00097D9A" w:rsidRDefault="00097D9A" w:rsidP="00097D9A">
            <w:pPr>
              <w:spacing w:after="0" w:line="240" w:lineRule="auto"/>
              <w:ind w:left="0"/>
              <w:rPr>
                <w:rFonts w:cs="Arial"/>
              </w:rPr>
            </w:pPr>
          </w:p>
          <w:p w:rsidR="00097D9A" w:rsidRPr="00097D9A" w:rsidRDefault="00097D9A" w:rsidP="00097D9A">
            <w:pPr>
              <w:spacing w:after="0" w:line="240" w:lineRule="auto"/>
              <w:ind w:left="0"/>
              <w:rPr>
                <w:rFonts w:cs="Arial"/>
              </w:rPr>
            </w:pPr>
            <w:r w:rsidRPr="00097D9A">
              <w:rPr>
                <w:rFonts w:cs="Arial"/>
              </w:rPr>
              <w:t xml:space="preserve">           Mégalopole </w:t>
            </w:r>
          </w:p>
          <w:p w:rsidR="00097D9A" w:rsidRPr="00097D9A" w:rsidRDefault="00097D9A" w:rsidP="00097D9A">
            <w:pPr>
              <w:spacing w:after="0" w:line="240" w:lineRule="auto"/>
              <w:ind w:left="0"/>
              <w:rPr>
                <w:rFonts w:cs="Arial"/>
              </w:rPr>
            </w:pPr>
          </w:p>
          <w:p w:rsidR="00097D9A" w:rsidRPr="00097D9A" w:rsidRDefault="00097D9A" w:rsidP="00097D9A">
            <w:pPr>
              <w:spacing w:after="0" w:line="240" w:lineRule="auto"/>
              <w:ind w:left="0"/>
              <w:rPr>
                <w:rFonts w:cs="Arial"/>
              </w:rPr>
            </w:pPr>
            <w:r w:rsidRPr="00097D9A">
              <w:rPr>
                <w:rFonts w:cs="Arial"/>
              </w:rPr>
              <w:t xml:space="preserve">           Métropole </w:t>
            </w:r>
          </w:p>
          <w:p w:rsidR="00097D9A" w:rsidRPr="00097D9A" w:rsidRDefault="00097D9A" w:rsidP="00097D9A">
            <w:pPr>
              <w:spacing w:after="0" w:line="240" w:lineRule="auto"/>
              <w:ind w:left="0"/>
              <w:rPr>
                <w:rFonts w:cs="Arial"/>
              </w:rPr>
            </w:pPr>
          </w:p>
        </w:tc>
      </w:tr>
    </w:tbl>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b/>
          <w:bCs/>
          <w:lang w:eastAsia="en-US"/>
        </w:rPr>
      </w:pPr>
      <w:r w:rsidRPr="00097D9A">
        <w:rPr>
          <w:rFonts w:cs="Arial"/>
          <w:b/>
          <w:bCs/>
          <w:lang w:eastAsia="en-US"/>
        </w:rPr>
        <w:br w:type="page"/>
      </w:r>
    </w:p>
    <w:p w:rsidR="00097D9A" w:rsidRPr="00097D9A" w:rsidRDefault="00097D9A" w:rsidP="00097D9A">
      <w:pPr>
        <w:spacing w:after="0" w:line="240" w:lineRule="auto"/>
        <w:ind w:left="0"/>
        <w:rPr>
          <w:rFonts w:cs="Arial"/>
          <w:b/>
          <w:bCs/>
          <w:lang w:eastAsia="en-US"/>
        </w:rPr>
      </w:pPr>
      <w:r w:rsidRPr="00097D9A">
        <w:rPr>
          <w:rFonts w:cs="Arial"/>
          <w:b/>
          <w:bCs/>
          <w:lang w:eastAsia="en-US"/>
        </w:rPr>
        <w:lastRenderedPageBreak/>
        <w:t>Deuxième partie : analyse de document(s) (sur 10 points)</w:t>
      </w:r>
    </w:p>
    <w:p w:rsidR="00097D9A" w:rsidRPr="00097D9A" w:rsidRDefault="00097D9A" w:rsidP="00097D9A">
      <w:pPr>
        <w:suppressLineNumbers/>
        <w:autoSpaceDE w:val="0"/>
        <w:autoSpaceDN w:val="0"/>
        <w:adjustRightInd w:val="0"/>
        <w:spacing w:after="0" w:line="240" w:lineRule="auto"/>
        <w:ind w:left="0"/>
        <w:rPr>
          <w:rFonts w:cs="Arial"/>
          <w:lang w:eastAsia="en-US"/>
        </w:rPr>
      </w:pPr>
    </w:p>
    <w:p w:rsidR="00097D9A" w:rsidRPr="00097D9A" w:rsidRDefault="00097D9A" w:rsidP="00097D9A">
      <w:pPr>
        <w:suppressLineNumbers/>
        <w:autoSpaceDE w:val="0"/>
        <w:autoSpaceDN w:val="0"/>
        <w:adjustRightInd w:val="0"/>
        <w:spacing w:after="0" w:line="240" w:lineRule="auto"/>
        <w:ind w:left="0"/>
        <w:rPr>
          <w:rFonts w:cs="Arial"/>
          <w:lang w:eastAsia="en-US"/>
        </w:rPr>
      </w:pPr>
      <w:r w:rsidRPr="00097D9A">
        <w:rPr>
          <w:rFonts w:cs="Arial"/>
          <w:lang w:eastAsia="en-US"/>
        </w:rPr>
        <w:t xml:space="preserve">Le candidat choisit l’un des deux sujets. </w:t>
      </w:r>
    </w:p>
    <w:p w:rsidR="00097D9A" w:rsidRPr="00097D9A" w:rsidRDefault="00097D9A" w:rsidP="00097D9A">
      <w:pPr>
        <w:suppressLineNumbers/>
        <w:autoSpaceDE w:val="0"/>
        <w:autoSpaceDN w:val="0"/>
        <w:adjustRightInd w:val="0"/>
        <w:spacing w:after="0" w:line="240" w:lineRule="auto"/>
        <w:ind w:left="0"/>
        <w:rPr>
          <w:rFonts w:cs="Arial"/>
          <w:lang w:eastAsia="en-US"/>
        </w:rPr>
      </w:pPr>
    </w:p>
    <w:p w:rsidR="00097D9A" w:rsidRPr="00097D9A" w:rsidRDefault="00097D9A" w:rsidP="00097D9A">
      <w:pPr>
        <w:spacing w:after="0" w:line="240" w:lineRule="auto"/>
        <w:ind w:left="0"/>
        <w:jc w:val="center"/>
        <w:rPr>
          <w:rFonts w:cs="Arial"/>
          <w:b/>
          <w:lang w:eastAsia="en-US"/>
        </w:rPr>
      </w:pPr>
      <w:r w:rsidRPr="00097D9A">
        <w:rPr>
          <w:rFonts w:cs="Arial"/>
          <w:b/>
          <w:lang w:eastAsia="en-US"/>
        </w:rPr>
        <w:t>Sujet d’étude : Les espaces des industries aéronautique et aérospatiale européennes.</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jc w:val="both"/>
        <w:rPr>
          <w:rFonts w:cs="Arial"/>
          <w:color w:val="000000"/>
          <w:u w:val="single"/>
          <w:lang w:eastAsia="en-US"/>
        </w:rPr>
      </w:pPr>
      <w:r w:rsidRPr="00097D9A">
        <w:rPr>
          <w:rFonts w:cs="Arial"/>
          <w:color w:val="000000"/>
          <w:u w:val="single"/>
          <w:lang w:eastAsia="en-US"/>
        </w:rPr>
        <w:t xml:space="preserve">Document 1 : </w:t>
      </w:r>
      <w:r w:rsidRPr="00097D9A">
        <w:rPr>
          <w:rFonts w:cs="Arial"/>
          <w:color w:val="000000"/>
          <w:lang w:eastAsia="en-US"/>
        </w:rPr>
        <w:t>Toulouse, un espace productif industriel européen majeur</w:t>
      </w:r>
    </w:p>
    <w:p w:rsidR="00097D9A" w:rsidRPr="00097D9A" w:rsidRDefault="00097D9A" w:rsidP="00097D9A">
      <w:pPr>
        <w:spacing w:after="0" w:line="240" w:lineRule="auto"/>
        <w:ind w:left="0"/>
        <w:jc w:val="both"/>
        <w:rPr>
          <w:rFonts w:cs="Arial"/>
          <w:b/>
          <w:bCs/>
          <w:color w:val="000000"/>
          <w:lang w:eastAsia="en-US"/>
        </w:rPr>
      </w:pPr>
    </w:p>
    <w:p w:rsidR="00097D9A" w:rsidRPr="00097D9A" w:rsidRDefault="00097D9A" w:rsidP="00097D9A">
      <w:pPr>
        <w:spacing w:after="0" w:line="240" w:lineRule="auto"/>
        <w:ind w:left="0"/>
        <w:jc w:val="center"/>
        <w:rPr>
          <w:rFonts w:cs="Arial"/>
          <w:b/>
          <w:bCs/>
          <w:lang w:eastAsia="en-US"/>
        </w:rPr>
      </w:pPr>
      <w:r w:rsidRPr="00097D9A">
        <w:rPr>
          <w:rFonts w:cs="Arial"/>
          <w:b/>
          <w:bCs/>
          <w:noProof/>
        </w:rPr>
        <w:lastRenderedPageBreak/>
        <w:drawing>
          <wp:inline distT="0" distB="0" distL="0" distR="0" wp14:anchorId="09FF70B3" wp14:editId="27933D66">
            <wp:extent cx="4733925" cy="673417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oulouse modifié - N et B.jpg"/>
                    <pic:cNvPicPr/>
                  </pic:nvPicPr>
                  <pic:blipFill>
                    <a:blip r:embed="rId8">
                      <a:extLst>
                        <a:ext uri="{28A0092B-C50C-407E-A947-70E740481C1C}">
                          <a14:useLocalDpi xmlns:a14="http://schemas.microsoft.com/office/drawing/2010/main" val="0"/>
                        </a:ext>
                      </a:extLst>
                    </a:blip>
                    <a:stretch>
                      <a:fillRect/>
                    </a:stretch>
                  </pic:blipFill>
                  <pic:spPr>
                    <a:xfrm>
                      <a:off x="0" y="0"/>
                      <a:ext cx="4753052" cy="6761384"/>
                    </a:xfrm>
                    <a:prstGeom prst="rect">
                      <a:avLst/>
                    </a:prstGeom>
                  </pic:spPr>
                </pic:pic>
              </a:graphicData>
            </a:graphic>
          </wp:inline>
        </w:drawing>
      </w:r>
    </w:p>
    <w:p w:rsidR="00097D9A" w:rsidRPr="00097D9A" w:rsidRDefault="00097D9A" w:rsidP="00097D9A">
      <w:pPr>
        <w:spacing w:after="0" w:line="240" w:lineRule="auto"/>
        <w:ind w:left="0"/>
        <w:rPr>
          <w:rFonts w:cs="Arial"/>
          <w:lang w:eastAsia="en-US"/>
        </w:rPr>
      </w:pPr>
      <w:r w:rsidRPr="00097D9A">
        <w:rPr>
          <w:rFonts w:cs="Arial"/>
          <w:lang w:eastAsia="en-US"/>
        </w:rPr>
        <w:t xml:space="preserve">Source : Magali </w:t>
      </w:r>
      <w:proofErr w:type="spellStart"/>
      <w:r w:rsidRPr="00097D9A">
        <w:rPr>
          <w:rFonts w:cs="Arial"/>
          <w:lang w:eastAsia="en-US"/>
        </w:rPr>
        <w:t>Reghezza-Zitt</w:t>
      </w:r>
      <w:proofErr w:type="spellEnd"/>
      <w:r w:rsidRPr="00097D9A">
        <w:rPr>
          <w:rFonts w:cs="Arial"/>
          <w:lang w:eastAsia="en-US"/>
        </w:rPr>
        <w:t xml:space="preserve">, </w:t>
      </w:r>
      <w:r w:rsidRPr="00097D9A">
        <w:rPr>
          <w:rFonts w:cs="Arial"/>
          <w:i/>
          <w:lang w:eastAsia="en-US"/>
        </w:rPr>
        <w:t xml:space="preserve">La France, une géographie en mouvement, </w:t>
      </w:r>
      <w:r w:rsidRPr="00097D9A">
        <w:rPr>
          <w:rFonts w:cs="Arial"/>
          <w:lang w:eastAsia="en-US"/>
        </w:rPr>
        <w:t>Documentation Photographique n°8096, novembre 2013.</w:t>
      </w:r>
    </w:p>
    <w:p w:rsidR="00097D9A" w:rsidRPr="00097D9A" w:rsidRDefault="00097D9A" w:rsidP="00097D9A">
      <w:pPr>
        <w:spacing w:after="0" w:line="240" w:lineRule="auto"/>
        <w:ind w:left="0"/>
        <w:rPr>
          <w:rFonts w:cs="Arial"/>
          <w:bCs/>
          <w:u w:val="single"/>
          <w:lang w:eastAsia="en-US"/>
        </w:rPr>
      </w:pPr>
    </w:p>
    <w:p w:rsidR="00097D9A" w:rsidRDefault="00097D9A">
      <w:pPr>
        <w:spacing w:after="0" w:line="240" w:lineRule="auto"/>
        <w:ind w:left="0"/>
        <w:rPr>
          <w:rFonts w:cs="Arial"/>
          <w:bCs/>
          <w:u w:val="single"/>
          <w:lang w:eastAsia="en-US"/>
        </w:rPr>
      </w:pPr>
      <w:r>
        <w:rPr>
          <w:rFonts w:cs="Arial"/>
          <w:bCs/>
          <w:u w:val="single"/>
          <w:lang w:eastAsia="en-US"/>
        </w:rPr>
        <w:br w:type="page"/>
      </w:r>
    </w:p>
    <w:p w:rsidR="00097D9A" w:rsidRPr="00097D9A" w:rsidRDefault="00097D9A" w:rsidP="00097D9A">
      <w:pPr>
        <w:spacing w:after="0" w:line="240" w:lineRule="auto"/>
        <w:ind w:left="0"/>
        <w:rPr>
          <w:rFonts w:cs="Arial"/>
          <w:bCs/>
          <w:lang w:eastAsia="en-US"/>
        </w:rPr>
      </w:pPr>
      <w:r w:rsidRPr="00097D9A">
        <w:rPr>
          <w:rFonts w:cs="Arial"/>
          <w:bCs/>
          <w:u w:val="single"/>
          <w:lang w:eastAsia="en-US"/>
        </w:rPr>
        <w:lastRenderedPageBreak/>
        <w:t xml:space="preserve">Document 2 : </w:t>
      </w:r>
      <w:r w:rsidRPr="00097D9A">
        <w:rPr>
          <w:rFonts w:cs="Arial"/>
          <w:bCs/>
          <w:lang w:eastAsia="en-US"/>
        </w:rPr>
        <w:t>Airbus, une production de plus en plus mondialisée</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i/>
          <w:lang w:eastAsia="en-US"/>
        </w:rPr>
        <w:t>En 2015, Airbus (première entreprise aéronautique européenne dont le siège est à Toulouse) a inauguré sa première usine d’assemblage aux États-Unis dans la ville de Mobile en Alabama</w:t>
      </w:r>
      <w:r w:rsidRPr="00097D9A">
        <w:rPr>
          <w:rFonts w:cs="Arial"/>
          <w:lang w:eastAsia="en-US"/>
        </w:rPr>
        <w:t>.</w:t>
      </w:r>
    </w:p>
    <w:p w:rsidR="00097D9A" w:rsidRPr="00097D9A" w:rsidRDefault="00097D9A" w:rsidP="00097D9A">
      <w:pPr>
        <w:spacing w:after="0" w:line="240" w:lineRule="auto"/>
        <w:ind w:left="0"/>
        <w:jc w:val="both"/>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 xml:space="preserve">L’avionneur européen a réceptionné à Mobile les principaux ensembles de composants pour le premier A320 qui sera produit aux États-Unis. L’appareil doit être livré cet été à la </w:t>
      </w:r>
      <w:proofErr w:type="spellStart"/>
      <w:r w:rsidRPr="00097D9A">
        <w:rPr>
          <w:rFonts w:cs="Arial"/>
          <w:i/>
          <w:lang w:eastAsia="en-US"/>
        </w:rPr>
        <w:t>low</w:t>
      </w:r>
      <w:proofErr w:type="spellEnd"/>
      <w:r w:rsidRPr="00097D9A">
        <w:rPr>
          <w:rFonts w:cs="Arial"/>
          <w:i/>
          <w:lang w:eastAsia="en-US"/>
        </w:rPr>
        <w:t xml:space="preserve"> cost</w:t>
      </w:r>
      <w:r w:rsidRPr="00097D9A">
        <w:rPr>
          <w:rFonts w:cs="Arial"/>
          <w:vertAlign w:val="superscript"/>
          <w:lang w:eastAsia="en-US"/>
        </w:rPr>
        <w:t>1</w:t>
      </w:r>
      <w:r w:rsidRPr="00097D9A">
        <w:rPr>
          <w:rFonts w:cs="Arial"/>
          <w:lang w:eastAsia="en-US"/>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097D9A" w:rsidRPr="00097D9A" w:rsidRDefault="00097D9A" w:rsidP="00097D9A">
      <w:pPr>
        <w:spacing w:after="0" w:line="240" w:lineRule="auto"/>
        <w:ind w:left="0"/>
        <w:jc w:val="both"/>
        <w:rPr>
          <w:rFonts w:cs="Arial"/>
          <w:lang w:eastAsia="en-US"/>
        </w:rPr>
      </w:pPr>
    </w:p>
    <w:p w:rsidR="00097D9A" w:rsidRPr="00097D9A" w:rsidRDefault="00097D9A" w:rsidP="00097D9A">
      <w:pPr>
        <w:spacing w:after="0" w:line="240" w:lineRule="auto"/>
        <w:ind w:left="0"/>
        <w:jc w:val="both"/>
        <w:rPr>
          <w:rFonts w:cs="Arial"/>
          <w:sz w:val="22"/>
          <w:lang w:eastAsia="zh-CN"/>
        </w:rPr>
      </w:pPr>
      <w:r w:rsidRPr="00097D9A">
        <w:rPr>
          <w:rFonts w:cs="Arial"/>
          <w:sz w:val="22"/>
          <w:vertAlign w:val="superscript"/>
          <w:lang w:eastAsia="en-US"/>
        </w:rPr>
        <w:footnoteRef/>
      </w:r>
      <w:r w:rsidRPr="00097D9A">
        <w:rPr>
          <w:rFonts w:cs="Arial"/>
          <w:sz w:val="22"/>
          <w:lang w:eastAsia="en-US"/>
        </w:rPr>
        <w:t xml:space="preserve"> Low-cost : La compagnie aérienne américaine Spirit Airlines est une compagnie à bas coût. </w:t>
      </w:r>
    </w:p>
    <w:p w:rsidR="00097D9A" w:rsidRPr="00097D9A" w:rsidRDefault="00097D9A" w:rsidP="00097D9A">
      <w:pPr>
        <w:spacing w:after="0" w:line="240" w:lineRule="auto"/>
        <w:ind w:left="0"/>
        <w:jc w:val="both"/>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Source : « Airbus commence à produire aux États-Unis ».</w:t>
      </w:r>
      <w:r w:rsidRPr="00097D9A">
        <w:rPr>
          <w:rFonts w:cs="Arial"/>
          <w:highlight w:val="yellow"/>
          <w:lang w:eastAsia="en-US"/>
        </w:rPr>
        <w:t xml:space="preserve"> </w:t>
      </w:r>
      <w:hyperlink r:id="rId9" w:history="1">
        <w:r w:rsidRPr="00097D9A">
          <w:rPr>
            <w:rFonts w:cs="Arial"/>
            <w:color w:val="000000"/>
            <w:u w:val="single"/>
            <w:lang w:eastAsia="en-US"/>
          </w:rPr>
          <w:t>https://airinfo.org/2017/05/09/airbus-commence-produire-a320-etats-unis/</w:t>
        </w:r>
      </w:hyperlink>
      <w:r w:rsidRPr="00097D9A">
        <w:rPr>
          <w:rFonts w:cs="Arial"/>
          <w:lang w:eastAsia="en-US"/>
        </w:rPr>
        <w:t xml:space="preserve"> [consulté en septembre 2019]</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jc w:val="both"/>
        <w:rPr>
          <w:rFonts w:cs="Arial"/>
          <w:lang w:eastAsia="en-US"/>
        </w:rPr>
      </w:pPr>
    </w:p>
    <w:p w:rsidR="00097D9A" w:rsidRPr="00097D9A" w:rsidRDefault="00097D9A" w:rsidP="00097D9A">
      <w:pPr>
        <w:spacing w:after="0" w:line="240" w:lineRule="auto"/>
        <w:ind w:left="0"/>
        <w:jc w:val="both"/>
        <w:rPr>
          <w:rFonts w:cs="Arial"/>
          <w:lang w:eastAsia="en-US"/>
        </w:rPr>
      </w:pPr>
      <w:r w:rsidRPr="00097D9A">
        <w:rPr>
          <w:rFonts w:cs="Arial"/>
          <w:lang w:eastAsia="en-US"/>
        </w:rPr>
        <w:t xml:space="preserve">Questions : </w:t>
      </w:r>
    </w:p>
    <w:p w:rsidR="00097D9A" w:rsidRPr="00097D9A" w:rsidRDefault="00097D9A" w:rsidP="00097D9A">
      <w:pPr>
        <w:spacing w:after="0" w:line="240" w:lineRule="auto"/>
        <w:ind w:left="0"/>
        <w:jc w:val="both"/>
        <w:rPr>
          <w:rFonts w:cs="Arial"/>
          <w:lang w:eastAsia="en-US"/>
        </w:rPr>
      </w:pPr>
    </w:p>
    <w:p w:rsidR="00097D9A" w:rsidRPr="00097D9A" w:rsidRDefault="00097D9A" w:rsidP="00097D9A">
      <w:pPr>
        <w:numPr>
          <w:ilvl w:val="0"/>
          <w:numId w:val="2"/>
        </w:numPr>
        <w:spacing w:after="0" w:line="240" w:lineRule="auto"/>
        <w:ind w:left="714" w:hanging="357"/>
        <w:contextualSpacing/>
        <w:rPr>
          <w:rFonts w:cs="Arial"/>
          <w:szCs w:val="22"/>
          <w:lang w:eastAsia="en-US"/>
        </w:rPr>
      </w:pPr>
      <w:r w:rsidRPr="00097D9A">
        <w:rPr>
          <w:rFonts w:cs="Arial"/>
          <w:szCs w:val="22"/>
          <w:lang w:eastAsia="en-US"/>
        </w:rPr>
        <w:t>Où sont implantées les activités aéronautiques et aérospatiales à Toulouse ? Pourquoi ce choix ?</w:t>
      </w:r>
    </w:p>
    <w:p w:rsidR="00097D9A" w:rsidRPr="00097D9A" w:rsidRDefault="00097D9A" w:rsidP="00097D9A">
      <w:pPr>
        <w:numPr>
          <w:ilvl w:val="0"/>
          <w:numId w:val="2"/>
        </w:numPr>
        <w:spacing w:after="0" w:line="240" w:lineRule="auto"/>
        <w:ind w:left="714" w:hanging="357"/>
        <w:contextualSpacing/>
        <w:rPr>
          <w:rFonts w:cs="Arial"/>
          <w:szCs w:val="22"/>
          <w:lang w:eastAsia="en-US"/>
        </w:rPr>
      </w:pPr>
      <w:r w:rsidRPr="00097D9A">
        <w:rPr>
          <w:rFonts w:cs="Arial"/>
          <w:szCs w:val="22"/>
          <w:lang w:eastAsia="en-US"/>
        </w:rPr>
        <w:t xml:space="preserve">Quels acteurs interviennent dans l’agglomération toulousaine pour la production aéronautique et aérospatiale ?  </w:t>
      </w:r>
    </w:p>
    <w:p w:rsidR="00097D9A" w:rsidRPr="00097D9A" w:rsidRDefault="00097D9A" w:rsidP="00097D9A">
      <w:pPr>
        <w:numPr>
          <w:ilvl w:val="0"/>
          <w:numId w:val="2"/>
        </w:numPr>
        <w:spacing w:after="0" w:line="240" w:lineRule="auto"/>
        <w:ind w:left="714" w:hanging="357"/>
        <w:contextualSpacing/>
        <w:rPr>
          <w:rFonts w:cs="Arial"/>
          <w:szCs w:val="22"/>
          <w:lang w:eastAsia="en-US"/>
        </w:rPr>
      </w:pPr>
      <w:r w:rsidRPr="00097D9A">
        <w:rPr>
          <w:rFonts w:cs="Arial"/>
          <w:szCs w:val="22"/>
          <w:lang w:eastAsia="en-US"/>
        </w:rPr>
        <w:t>Expliquez la stratégie de l’entreprise Airbus dans le choix de ses implantations d’assemblage.</w:t>
      </w:r>
    </w:p>
    <w:p w:rsidR="00097D9A" w:rsidRPr="00097D9A" w:rsidRDefault="00097D9A" w:rsidP="00097D9A">
      <w:pPr>
        <w:numPr>
          <w:ilvl w:val="0"/>
          <w:numId w:val="2"/>
        </w:numPr>
        <w:spacing w:after="0" w:line="240" w:lineRule="auto"/>
        <w:ind w:left="714" w:hanging="357"/>
        <w:contextualSpacing/>
        <w:rPr>
          <w:rFonts w:cs="Arial"/>
          <w:szCs w:val="22"/>
          <w:lang w:eastAsia="en-US"/>
        </w:rPr>
      </w:pPr>
      <w:r w:rsidRPr="00097D9A">
        <w:rPr>
          <w:rFonts w:cs="Arial"/>
          <w:szCs w:val="22"/>
          <w:lang w:eastAsia="en-US"/>
        </w:rPr>
        <w:t xml:space="preserve">La stratégie des industries aéronautique et aérospatiale européennes a des effets sur les territoires à toutes les échelles : justifiez cette affirmation à l’aide des documents et de vos connaissances.  </w:t>
      </w:r>
    </w:p>
    <w:p w:rsidR="00097D9A" w:rsidRPr="00097D9A" w:rsidRDefault="00097D9A" w:rsidP="00097D9A">
      <w:pPr>
        <w:spacing w:after="0" w:line="240" w:lineRule="auto"/>
        <w:ind w:left="0"/>
        <w:rPr>
          <w:rFonts w:cs="Arial"/>
          <w:lang w:eastAsia="en-US"/>
        </w:rPr>
      </w:pPr>
    </w:p>
    <w:p w:rsidR="00097D9A" w:rsidRPr="00097D9A" w:rsidRDefault="00097D9A" w:rsidP="00097D9A">
      <w:pPr>
        <w:tabs>
          <w:tab w:val="left" w:pos="1935"/>
        </w:tabs>
        <w:spacing w:after="0" w:line="240" w:lineRule="auto"/>
        <w:ind w:left="0"/>
        <w:rPr>
          <w:rFonts w:ascii="Calibri" w:hAnsi="Calibri"/>
          <w:lang w:eastAsia="en-US"/>
        </w:rPr>
      </w:pPr>
    </w:p>
    <w:p w:rsidR="00097D9A" w:rsidRPr="00097D9A" w:rsidRDefault="00097D9A" w:rsidP="00097D9A">
      <w:pPr>
        <w:suppressLineNumbers/>
        <w:autoSpaceDE w:val="0"/>
        <w:autoSpaceDN w:val="0"/>
        <w:adjustRightInd w:val="0"/>
        <w:spacing w:after="0" w:line="240" w:lineRule="auto"/>
        <w:ind w:left="0"/>
        <w:rPr>
          <w:rFonts w:ascii="Calibri" w:hAnsi="Calibri"/>
          <w:lang w:eastAsia="en-US"/>
        </w:rPr>
      </w:pPr>
    </w:p>
    <w:p w:rsidR="00097D9A" w:rsidRPr="001B701C" w:rsidRDefault="00097D9A" w:rsidP="001B701C">
      <w:pPr>
        <w:spacing w:after="0" w:line="240" w:lineRule="auto"/>
        <w:ind w:left="0"/>
        <w:rPr>
          <w:rFonts w:ascii="Calibri" w:hAnsi="Calibri"/>
          <w:lang w:eastAsia="en-US"/>
        </w:rPr>
      </w:pPr>
      <w:r w:rsidRPr="00097D9A">
        <w:rPr>
          <w:rFonts w:cs="Arial"/>
          <w:b/>
          <w:bCs/>
          <w:lang w:eastAsia="en-US"/>
        </w:rPr>
        <w:t>Sujet d’étude : Rotterdam : un espace industrialo-portuaire européen de dimension internationale.</w:t>
      </w:r>
    </w:p>
    <w:p w:rsidR="00097D9A" w:rsidRPr="00097D9A" w:rsidRDefault="00097D9A" w:rsidP="00097D9A">
      <w:pPr>
        <w:spacing w:after="0" w:line="240" w:lineRule="auto"/>
        <w:ind w:left="0"/>
        <w:rPr>
          <w:rFonts w:ascii="Calibri" w:hAnsi="Calibri"/>
          <w:lang w:eastAsia="en-US"/>
        </w:rPr>
      </w:pPr>
    </w:p>
    <w:p w:rsidR="00097D9A" w:rsidRPr="00097D9A" w:rsidRDefault="00097D9A" w:rsidP="00097D9A">
      <w:pPr>
        <w:spacing w:after="0" w:line="240" w:lineRule="auto"/>
        <w:ind w:left="0"/>
        <w:rPr>
          <w:rFonts w:cs="Arial"/>
          <w:lang w:eastAsia="en-US"/>
        </w:rPr>
      </w:pPr>
      <w:r w:rsidRPr="00097D9A">
        <w:rPr>
          <w:rFonts w:cs="Arial"/>
          <w:u w:val="single"/>
          <w:lang w:eastAsia="en-US"/>
        </w:rPr>
        <w:t xml:space="preserve">Document 1 : </w:t>
      </w:r>
      <w:r w:rsidRPr="00097D9A">
        <w:rPr>
          <w:rFonts w:cs="Arial"/>
          <w:lang w:eastAsia="en-US"/>
        </w:rPr>
        <w:t>le port de Rotterdam frôle la barre des 120 millions de tonnes</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097D9A" w:rsidRPr="00097D9A" w:rsidRDefault="00097D9A" w:rsidP="00097D9A">
      <w:pPr>
        <w:spacing w:after="0" w:line="240" w:lineRule="auto"/>
        <w:ind w:left="0"/>
        <w:rPr>
          <w:rFonts w:cs="Arial"/>
          <w:lang w:eastAsia="en-US"/>
        </w:rPr>
      </w:pPr>
      <w:r w:rsidRPr="00097D9A">
        <w:rPr>
          <w:rFonts w:cs="Arial"/>
          <w:lang w:eastAsia="en-US"/>
        </w:rPr>
        <w:t>Le conteneur a progressé de 10,8 %, à 34,3 Mt, sur le registre du volume, et de 8,8 % à 3,3 millions d'EVP</w:t>
      </w:r>
      <w:r w:rsidRPr="00097D9A">
        <w:rPr>
          <w:rFonts w:cs="Arial"/>
          <w:vertAlign w:val="superscript"/>
          <w:lang w:eastAsia="en-US"/>
        </w:rPr>
        <w:t>1</w:t>
      </w:r>
      <w:r w:rsidRPr="00097D9A">
        <w:rPr>
          <w:rFonts w:cs="Arial"/>
          <w:lang w:eastAsia="en-US"/>
        </w:rPr>
        <w:t xml:space="preserve">. « Notre activité sur le terminal de </w:t>
      </w:r>
      <w:proofErr w:type="spellStart"/>
      <w:r w:rsidRPr="00097D9A">
        <w:rPr>
          <w:rFonts w:cs="Arial"/>
          <w:lang w:eastAsia="en-US"/>
        </w:rPr>
        <w:t>Maasvlakte</w:t>
      </w:r>
      <w:proofErr w:type="spellEnd"/>
      <w:r w:rsidRPr="00097D9A">
        <w:rPr>
          <w:rFonts w:cs="Arial"/>
          <w:lang w:eastAsia="en-US"/>
        </w:rPr>
        <w:t xml:space="preserv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sidRPr="00097D9A">
        <w:rPr>
          <w:rFonts w:cs="Arial"/>
          <w:u w:val="single"/>
          <w:lang w:eastAsia="en-US"/>
        </w:rPr>
        <w:t>le port néerlandais qui estime renforcer sa position de hub dans le domaine du conteneur</w:t>
      </w:r>
      <w:r w:rsidRPr="00097D9A">
        <w:rPr>
          <w:rFonts w:cs="Arial"/>
          <w:lang w:eastAsia="en-US"/>
        </w:rPr>
        <w:t>.  […] </w:t>
      </w:r>
    </w:p>
    <w:p w:rsidR="00097D9A" w:rsidRPr="00097D9A" w:rsidRDefault="00097D9A" w:rsidP="00097D9A">
      <w:pPr>
        <w:spacing w:after="0" w:line="240" w:lineRule="auto"/>
        <w:ind w:left="0"/>
        <w:rPr>
          <w:rFonts w:cs="Arial"/>
          <w:lang w:eastAsia="en-US"/>
        </w:rPr>
      </w:pPr>
      <w:r w:rsidRPr="00097D9A">
        <w:rPr>
          <w:rFonts w:cs="Arial"/>
          <w:lang w:eastAsia="en-US"/>
        </w:rPr>
        <w:t>Dans le secteur des vracs liquides</w:t>
      </w:r>
      <w:r w:rsidRPr="00097D9A">
        <w:rPr>
          <w:rFonts w:cs="Arial"/>
          <w:vertAlign w:val="superscript"/>
          <w:lang w:eastAsia="en-US"/>
        </w:rPr>
        <w:t>3</w:t>
      </w:r>
      <w:r w:rsidRPr="00097D9A">
        <w:rPr>
          <w:rFonts w:cs="Arial"/>
          <w:lang w:eastAsia="en-US"/>
        </w:rPr>
        <w:t>, le pétrole brut a progressé de 2,3 %, à 26,6 Mt. Quant au GNL</w:t>
      </w:r>
      <w:r w:rsidRPr="00097D9A">
        <w:rPr>
          <w:rFonts w:cs="Arial"/>
          <w:vertAlign w:val="superscript"/>
          <w:lang w:eastAsia="en-US"/>
        </w:rPr>
        <w:t> 4</w:t>
      </w:r>
      <w:r w:rsidRPr="00097D9A">
        <w:rPr>
          <w:rFonts w:cs="Arial"/>
          <w:lang w:eastAsia="en-US"/>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sidRPr="00097D9A">
        <w:rPr>
          <w:rFonts w:cs="Arial"/>
          <w:vertAlign w:val="superscript"/>
          <w:lang w:eastAsia="en-US"/>
        </w:rPr>
        <w:t>5</w:t>
      </w:r>
      <w:r w:rsidRPr="00097D9A">
        <w:rPr>
          <w:rFonts w:cs="Arial"/>
          <w:lang w:eastAsia="en-US"/>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w:t>
      </w:r>
      <w:proofErr w:type="spellStart"/>
      <w:r w:rsidRPr="00097D9A">
        <w:rPr>
          <w:rFonts w:cs="Arial"/>
          <w:lang w:eastAsia="en-US"/>
        </w:rPr>
        <w:t>agribulk</w:t>
      </w:r>
      <w:proofErr w:type="spellEnd"/>
      <w:r w:rsidRPr="00097D9A">
        <w:rPr>
          <w:rFonts w:cs="Arial"/>
          <w:lang w:eastAsia="en-US"/>
        </w:rPr>
        <w:t xml:space="preserve"> »), ils ont progressé de 14 % pour se chiffrer à 2,9 Mt ». </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 xml:space="preserve">Notes : </w:t>
      </w:r>
    </w:p>
    <w:p w:rsidR="00097D9A" w:rsidRPr="00097D9A" w:rsidRDefault="00097D9A" w:rsidP="00097D9A">
      <w:pPr>
        <w:spacing w:after="0" w:line="240" w:lineRule="auto"/>
        <w:ind w:left="0"/>
        <w:rPr>
          <w:rFonts w:cs="Arial"/>
          <w:sz w:val="22"/>
          <w:lang w:eastAsia="en-US"/>
        </w:rPr>
      </w:pPr>
      <w:r w:rsidRPr="00097D9A">
        <w:rPr>
          <w:rFonts w:cs="Arial"/>
          <w:sz w:val="22"/>
          <w:vertAlign w:val="superscript"/>
          <w:lang w:eastAsia="en-US"/>
        </w:rPr>
        <w:t xml:space="preserve">1 </w:t>
      </w:r>
      <w:r w:rsidRPr="00097D9A">
        <w:rPr>
          <w:rFonts w:cs="Arial"/>
          <w:sz w:val="22"/>
          <w:lang w:eastAsia="en-US"/>
        </w:rPr>
        <w:t>EVP : unité de mesure anglo-saxonne du trafic de conteneurs en équivalent vingt pieds.</w:t>
      </w:r>
    </w:p>
    <w:p w:rsidR="00097D9A" w:rsidRPr="00097D9A" w:rsidRDefault="00097D9A" w:rsidP="00097D9A">
      <w:pPr>
        <w:spacing w:after="0" w:line="240" w:lineRule="auto"/>
        <w:ind w:left="0"/>
        <w:rPr>
          <w:rFonts w:cs="Arial"/>
          <w:sz w:val="22"/>
          <w:lang w:eastAsia="en-US"/>
        </w:rPr>
      </w:pPr>
      <w:r w:rsidRPr="00097D9A">
        <w:rPr>
          <w:rFonts w:cs="Arial"/>
          <w:sz w:val="22"/>
          <w:vertAlign w:val="superscript"/>
          <w:lang w:eastAsia="en-US"/>
        </w:rPr>
        <w:t xml:space="preserve">2 </w:t>
      </w:r>
      <w:r w:rsidRPr="00097D9A">
        <w:rPr>
          <w:rFonts w:cs="Arial"/>
          <w:i/>
          <w:sz w:val="22"/>
          <w:lang w:eastAsia="en-US"/>
        </w:rPr>
        <w:t>Feeder :</w:t>
      </w:r>
      <w:r w:rsidRPr="00097D9A">
        <w:rPr>
          <w:rFonts w:cs="Arial"/>
          <w:sz w:val="22"/>
          <w:lang w:eastAsia="en-US"/>
        </w:rPr>
        <w:t xml:space="preserve"> petit navire qui a pour but de répartir sur différents ports les marchandises apportées par un gros bateau. </w:t>
      </w:r>
    </w:p>
    <w:p w:rsidR="00097D9A" w:rsidRPr="00097D9A" w:rsidRDefault="00097D9A" w:rsidP="00097D9A">
      <w:pPr>
        <w:spacing w:after="0" w:line="240" w:lineRule="auto"/>
        <w:ind w:left="0"/>
        <w:rPr>
          <w:rFonts w:cs="Arial"/>
          <w:sz w:val="22"/>
          <w:vertAlign w:val="superscript"/>
          <w:lang w:eastAsia="en-US"/>
        </w:rPr>
      </w:pPr>
      <w:r w:rsidRPr="00097D9A">
        <w:rPr>
          <w:rFonts w:cs="Arial"/>
          <w:sz w:val="22"/>
          <w:vertAlign w:val="superscript"/>
          <w:lang w:eastAsia="en-US"/>
        </w:rPr>
        <w:t>3</w:t>
      </w:r>
      <w:r w:rsidRPr="00097D9A">
        <w:rPr>
          <w:rFonts w:cs="Arial"/>
          <w:sz w:val="22"/>
          <w:lang w:eastAsia="en-US"/>
        </w:rPr>
        <w:t xml:space="preserve"> Les vracs liquides correspondent aux produits pétroliers et chimiques, au gaz. Les vracs secs regroupent les céréales, le charbon et les minerais.</w:t>
      </w:r>
    </w:p>
    <w:p w:rsidR="00097D9A" w:rsidRPr="00097D9A" w:rsidRDefault="00097D9A" w:rsidP="00097D9A">
      <w:pPr>
        <w:spacing w:after="0" w:line="240" w:lineRule="auto"/>
        <w:ind w:left="0"/>
        <w:rPr>
          <w:rFonts w:cs="Arial"/>
          <w:sz w:val="22"/>
          <w:lang w:eastAsia="en-US"/>
        </w:rPr>
      </w:pPr>
      <w:r w:rsidRPr="00097D9A">
        <w:rPr>
          <w:rFonts w:cs="Arial"/>
          <w:sz w:val="22"/>
          <w:vertAlign w:val="superscript"/>
          <w:lang w:eastAsia="en-US"/>
        </w:rPr>
        <w:t xml:space="preserve">4 </w:t>
      </w:r>
      <w:r w:rsidRPr="00097D9A">
        <w:rPr>
          <w:rFonts w:cs="Arial"/>
          <w:sz w:val="22"/>
          <w:lang w:eastAsia="en-US"/>
        </w:rPr>
        <w:t>GNL : gaz naturel liquéfié</w:t>
      </w:r>
    </w:p>
    <w:p w:rsidR="00097D9A" w:rsidRPr="00097D9A" w:rsidRDefault="00097D9A" w:rsidP="00097D9A">
      <w:pPr>
        <w:spacing w:after="0" w:line="240" w:lineRule="auto"/>
        <w:ind w:left="0"/>
        <w:rPr>
          <w:rFonts w:cs="Arial"/>
          <w:sz w:val="22"/>
          <w:lang w:eastAsia="en-US"/>
        </w:rPr>
      </w:pPr>
      <w:r w:rsidRPr="00097D9A">
        <w:rPr>
          <w:rFonts w:cs="Arial"/>
          <w:sz w:val="22"/>
          <w:vertAlign w:val="superscript"/>
          <w:lang w:eastAsia="en-US"/>
        </w:rPr>
        <w:t xml:space="preserve">5 </w:t>
      </w:r>
      <w:r w:rsidRPr="00097D9A">
        <w:rPr>
          <w:rFonts w:cs="Arial"/>
          <w:sz w:val="22"/>
          <w:lang w:eastAsia="en-US"/>
        </w:rPr>
        <w:t xml:space="preserve">Le </w:t>
      </w:r>
      <w:proofErr w:type="spellStart"/>
      <w:r w:rsidRPr="00097D9A">
        <w:rPr>
          <w:rFonts w:cs="Arial"/>
          <w:sz w:val="22"/>
          <w:lang w:eastAsia="en-US"/>
        </w:rPr>
        <w:t>biofuel</w:t>
      </w:r>
      <w:proofErr w:type="spellEnd"/>
      <w:r w:rsidRPr="00097D9A">
        <w:rPr>
          <w:rFonts w:cs="Arial"/>
          <w:sz w:val="22"/>
          <w:lang w:eastAsia="en-US"/>
        </w:rPr>
        <w:t xml:space="preserve"> est un carburant fabriqué à partir des végétaux. </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 xml:space="preserve">Source : Vincent </w:t>
      </w:r>
      <w:proofErr w:type="spellStart"/>
      <w:r w:rsidRPr="00097D9A">
        <w:rPr>
          <w:rFonts w:cs="Arial"/>
          <w:lang w:eastAsia="en-US"/>
        </w:rPr>
        <w:t>Calabrèse</w:t>
      </w:r>
      <w:proofErr w:type="spellEnd"/>
      <w:r w:rsidRPr="00097D9A">
        <w:rPr>
          <w:rFonts w:cs="Arial"/>
          <w:lang w:eastAsia="en-US"/>
        </w:rPr>
        <w:t xml:space="preserve">, « Le port de Rotterdam frôle la barre des 120 millions de tonnes », Site internet, l’antenne au quotidien - les transports au quotidien, Mercredi 3 Mai 2017. </w:t>
      </w:r>
      <w:hyperlink r:id="rId10" w:history="1">
        <w:r w:rsidRPr="00097D9A">
          <w:rPr>
            <w:rFonts w:cs="Arial"/>
            <w:color w:val="000000"/>
            <w:u w:val="single"/>
            <w:lang w:eastAsia="en-US"/>
          </w:rPr>
          <w:t>https://www.lantenne.com/Le-port-de-Rotterdam-frole-la-barre-des-120-millions-de-tonnes_a36916.html</w:t>
        </w:r>
      </w:hyperlink>
      <w:r w:rsidRPr="00097D9A">
        <w:rPr>
          <w:rFonts w:cs="Arial"/>
          <w:color w:val="000000"/>
          <w:u w:val="single"/>
          <w:lang w:eastAsia="en-US"/>
        </w:rPr>
        <w:t xml:space="preserve">. </w:t>
      </w:r>
      <w:r w:rsidRPr="00097D9A">
        <w:rPr>
          <w:rFonts w:cs="Arial"/>
          <w:lang w:eastAsia="en-US"/>
        </w:rPr>
        <w:t>[</w:t>
      </w:r>
      <w:proofErr w:type="gramStart"/>
      <w:r w:rsidRPr="00097D9A">
        <w:rPr>
          <w:rFonts w:cs="Arial"/>
          <w:lang w:eastAsia="en-US"/>
        </w:rPr>
        <w:t>consulté</w:t>
      </w:r>
      <w:proofErr w:type="gramEnd"/>
      <w:r w:rsidRPr="00097D9A">
        <w:rPr>
          <w:rFonts w:cs="Arial"/>
          <w:lang w:eastAsia="en-US"/>
        </w:rPr>
        <w:t xml:space="preserve"> en octobre 2019].</w:t>
      </w:r>
    </w:p>
    <w:p w:rsidR="00097D9A" w:rsidRPr="00097D9A" w:rsidRDefault="00097D9A" w:rsidP="00097D9A">
      <w:pPr>
        <w:spacing w:after="0" w:line="240" w:lineRule="auto"/>
        <w:ind w:left="0"/>
        <w:rPr>
          <w:rFonts w:cs="Arial"/>
          <w:color w:val="000000"/>
          <w:lang w:eastAsia="en-US"/>
        </w:rPr>
      </w:pPr>
    </w:p>
    <w:p w:rsidR="00097D9A" w:rsidRPr="00097D9A" w:rsidRDefault="00097D9A" w:rsidP="00097D9A">
      <w:pPr>
        <w:spacing w:after="0" w:line="240" w:lineRule="auto"/>
        <w:ind w:left="0"/>
        <w:rPr>
          <w:rFonts w:cs="Arial"/>
          <w:b/>
          <w:bCs/>
          <w:lang w:eastAsia="en-US"/>
        </w:rPr>
      </w:pPr>
    </w:p>
    <w:p w:rsidR="00097D9A" w:rsidRPr="00097D9A" w:rsidRDefault="00097D9A" w:rsidP="00097D9A">
      <w:pPr>
        <w:spacing w:after="0" w:line="240" w:lineRule="auto"/>
        <w:ind w:left="0"/>
        <w:rPr>
          <w:rFonts w:cs="Arial"/>
          <w:u w:val="single"/>
          <w:lang w:eastAsia="en-US"/>
        </w:rPr>
      </w:pPr>
      <w:r w:rsidRPr="00097D9A">
        <w:rPr>
          <w:rFonts w:cs="Arial"/>
          <w:u w:val="single"/>
          <w:lang w:eastAsia="en-US"/>
        </w:rPr>
        <w:t xml:space="preserve">Document 2 : </w:t>
      </w:r>
      <w:r w:rsidRPr="00097D9A">
        <w:rPr>
          <w:rFonts w:cs="Arial"/>
          <w:lang w:eastAsia="en-US"/>
        </w:rPr>
        <w:t>L’</w:t>
      </w:r>
      <w:proofErr w:type="spellStart"/>
      <w:r w:rsidRPr="00097D9A">
        <w:rPr>
          <w:rFonts w:cs="Arial"/>
          <w:lang w:eastAsia="en-US"/>
        </w:rPr>
        <w:t>asiatisation</w:t>
      </w:r>
      <w:proofErr w:type="spellEnd"/>
      <w:r w:rsidRPr="00097D9A">
        <w:rPr>
          <w:rFonts w:cs="Arial"/>
          <w:lang w:eastAsia="en-US"/>
        </w:rPr>
        <w:t xml:space="preserve"> des grands ports mondiaux en 2013</w:t>
      </w:r>
    </w:p>
    <w:p w:rsidR="00097D9A" w:rsidRPr="00097D9A" w:rsidRDefault="00097D9A" w:rsidP="00097D9A">
      <w:pPr>
        <w:spacing w:after="0" w:line="240" w:lineRule="auto"/>
        <w:ind w:left="0"/>
        <w:rPr>
          <w:rFonts w:cs="Arial"/>
          <w:u w:val="single"/>
          <w:lang w:eastAsia="en-US"/>
        </w:rPr>
      </w:pPr>
    </w:p>
    <w:p w:rsidR="00097D9A" w:rsidRPr="00097D9A" w:rsidRDefault="00097D9A" w:rsidP="00097D9A">
      <w:pPr>
        <w:spacing w:after="0" w:line="240" w:lineRule="auto"/>
        <w:ind w:left="0"/>
        <w:rPr>
          <w:rFonts w:cs="Arial"/>
          <w:b/>
          <w:bCs/>
          <w:lang w:eastAsia="en-US"/>
        </w:rPr>
      </w:pPr>
      <w:r w:rsidRPr="00097D9A">
        <w:rPr>
          <w:rFonts w:cs="Arial"/>
          <w:b/>
          <w:bCs/>
          <w:noProof/>
        </w:rPr>
        <w:drawing>
          <wp:inline distT="0" distB="0" distL="0" distR="0" wp14:anchorId="56A738A3" wp14:editId="6834A319">
            <wp:extent cx="6299200" cy="4794885"/>
            <wp:effectExtent l="0" t="0" r="0" b="5715"/>
            <wp:docPr id="1073741873" name="Image 107374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73" name="Capture d’écran 2019-10-23 à 22.35.27.png"/>
                    <pic:cNvPicPr/>
                  </pic:nvPicPr>
                  <pic:blipFill>
                    <a:blip r:embed="rId11">
                      <a:extLst>
                        <a:ext uri="{28A0092B-C50C-407E-A947-70E740481C1C}">
                          <a14:useLocalDpi xmlns:a14="http://schemas.microsoft.com/office/drawing/2010/main" val="0"/>
                        </a:ext>
                      </a:extLst>
                    </a:blip>
                    <a:stretch>
                      <a:fillRect/>
                    </a:stretch>
                  </pic:blipFill>
                  <pic:spPr>
                    <a:xfrm>
                      <a:off x="0" y="0"/>
                      <a:ext cx="6299200" cy="4794885"/>
                    </a:xfrm>
                    <a:prstGeom prst="rect">
                      <a:avLst/>
                    </a:prstGeom>
                  </pic:spPr>
                </pic:pic>
              </a:graphicData>
            </a:graphic>
          </wp:inline>
        </w:drawing>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u w:val="single"/>
          <w:lang w:eastAsia="en-US"/>
        </w:rPr>
        <w:t>Source :</w:t>
      </w:r>
      <w:r w:rsidRPr="00097D9A">
        <w:rPr>
          <w:rFonts w:cs="Arial"/>
          <w:lang w:eastAsia="en-US"/>
        </w:rPr>
        <w:t xml:space="preserve"> Délégation interministérielle au développement de l’axe portuaire et logistique Méditerranée-Rhône-Saône, </w:t>
      </w:r>
      <w:r w:rsidRPr="00097D9A">
        <w:rPr>
          <w:rFonts w:cs="Arial"/>
          <w:i/>
          <w:lang w:eastAsia="en-US"/>
        </w:rPr>
        <w:t>Propositions pour le renforcement de l’intégration de la gouvernance sur l’Axe Méditerranée-Rhône-Saône</w:t>
      </w:r>
      <w:r w:rsidRPr="00097D9A">
        <w:rPr>
          <w:rFonts w:cs="Arial"/>
          <w:lang w:eastAsia="en-US"/>
        </w:rPr>
        <w:t xml:space="preserve">, juin 2018, page 9. </w:t>
      </w:r>
    </w:p>
    <w:p w:rsidR="00097D9A" w:rsidRPr="00097D9A" w:rsidRDefault="00781C71" w:rsidP="00097D9A">
      <w:pPr>
        <w:spacing w:after="0" w:line="240" w:lineRule="auto"/>
        <w:ind w:left="0"/>
        <w:rPr>
          <w:rFonts w:cs="Arial"/>
          <w:color w:val="000000"/>
          <w:lang w:eastAsia="en-US"/>
        </w:rPr>
      </w:pPr>
      <w:hyperlink r:id="rId12" w:history="1">
        <w:r w:rsidR="00097D9A" w:rsidRPr="00097D9A">
          <w:rPr>
            <w:rFonts w:cs="Arial"/>
            <w:color w:val="000000"/>
            <w:u w:val="single"/>
            <w:lang w:eastAsia="en-US"/>
          </w:rPr>
          <w:t>https://www.ecologique-solidaire.gouv.fr/sites/default/files/rapport gouvernance axe MRS.pdf</w:t>
        </w:r>
      </w:hyperlink>
      <w:r w:rsidR="00097D9A" w:rsidRPr="00097D9A">
        <w:rPr>
          <w:rFonts w:cs="Arial"/>
          <w:color w:val="000000"/>
          <w:u w:val="single"/>
          <w:lang w:eastAsia="en-US"/>
        </w:rPr>
        <w:t xml:space="preserve"> [consulté en octobre 2019]</w:t>
      </w: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p>
    <w:p w:rsidR="00097D9A" w:rsidRPr="00097D9A" w:rsidRDefault="00097D9A" w:rsidP="00097D9A">
      <w:pPr>
        <w:spacing w:after="0" w:line="240" w:lineRule="auto"/>
        <w:ind w:left="0"/>
        <w:rPr>
          <w:rFonts w:cs="Arial"/>
          <w:lang w:eastAsia="en-US"/>
        </w:rPr>
      </w:pPr>
      <w:r w:rsidRPr="00097D9A">
        <w:rPr>
          <w:rFonts w:cs="Arial"/>
          <w:lang w:eastAsia="en-US"/>
        </w:rPr>
        <w:t xml:space="preserve">Questions : </w:t>
      </w:r>
    </w:p>
    <w:p w:rsidR="00097D9A" w:rsidRPr="00097D9A" w:rsidRDefault="00097D9A" w:rsidP="00097D9A">
      <w:pPr>
        <w:spacing w:after="0" w:line="240" w:lineRule="auto"/>
        <w:ind w:left="0"/>
        <w:rPr>
          <w:rFonts w:cs="Arial"/>
          <w:lang w:eastAsia="en-US"/>
        </w:rPr>
      </w:pPr>
    </w:p>
    <w:p w:rsidR="00097D9A" w:rsidRPr="00097D9A" w:rsidRDefault="00097D9A" w:rsidP="00097D9A">
      <w:pPr>
        <w:numPr>
          <w:ilvl w:val="0"/>
          <w:numId w:val="3"/>
        </w:numPr>
        <w:spacing w:after="200" w:line="276" w:lineRule="auto"/>
        <w:contextualSpacing/>
        <w:rPr>
          <w:rFonts w:cs="Arial"/>
          <w:szCs w:val="22"/>
          <w:lang w:eastAsia="en-US"/>
        </w:rPr>
      </w:pPr>
      <w:r w:rsidRPr="00097D9A">
        <w:rPr>
          <w:rFonts w:cs="Arial"/>
          <w:szCs w:val="22"/>
          <w:lang w:eastAsia="en-US"/>
        </w:rPr>
        <w:t xml:space="preserve">Quelle est la façade maritime dont le port de Rotterdam est le port principal ? </w:t>
      </w:r>
    </w:p>
    <w:p w:rsidR="00097D9A" w:rsidRPr="00097D9A" w:rsidRDefault="00097D9A" w:rsidP="00097D9A">
      <w:pPr>
        <w:numPr>
          <w:ilvl w:val="0"/>
          <w:numId w:val="3"/>
        </w:numPr>
        <w:spacing w:after="200" w:line="276" w:lineRule="auto"/>
        <w:contextualSpacing/>
        <w:rPr>
          <w:rFonts w:cs="Arial"/>
          <w:szCs w:val="22"/>
          <w:lang w:eastAsia="en-US"/>
        </w:rPr>
      </w:pPr>
      <w:r w:rsidRPr="00097D9A">
        <w:rPr>
          <w:rFonts w:cs="Arial"/>
          <w:szCs w:val="22"/>
          <w:lang w:eastAsia="en-US"/>
        </w:rPr>
        <w:t xml:space="preserve">Repérez les différents types de produits traités par le port de Rotterdam. </w:t>
      </w:r>
    </w:p>
    <w:p w:rsidR="00097D9A" w:rsidRPr="00097D9A" w:rsidRDefault="00097D9A" w:rsidP="00097D9A">
      <w:pPr>
        <w:numPr>
          <w:ilvl w:val="0"/>
          <w:numId w:val="3"/>
        </w:numPr>
        <w:spacing w:after="200" w:line="276" w:lineRule="auto"/>
        <w:contextualSpacing/>
        <w:rPr>
          <w:rFonts w:cs="Arial"/>
          <w:szCs w:val="22"/>
          <w:lang w:eastAsia="en-US"/>
        </w:rPr>
      </w:pPr>
      <w:r w:rsidRPr="00097D9A">
        <w:rPr>
          <w:rFonts w:cs="Arial"/>
          <w:szCs w:val="22"/>
          <w:lang w:eastAsia="en-US"/>
        </w:rPr>
        <w:t xml:space="preserve">Expliquez la phrase soulignée dans le document 1. </w:t>
      </w:r>
    </w:p>
    <w:p w:rsidR="00097D9A" w:rsidRPr="00097D9A" w:rsidRDefault="00097D9A" w:rsidP="00097D9A">
      <w:pPr>
        <w:numPr>
          <w:ilvl w:val="0"/>
          <w:numId w:val="3"/>
        </w:numPr>
        <w:spacing w:after="200" w:line="276" w:lineRule="auto"/>
        <w:contextualSpacing/>
        <w:rPr>
          <w:rFonts w:cs="Arial"/>
          <w:szCs w:val="22"/>
          <w:lang w:eastAsia="en-US"/>
        </w:rPr>
      </w:pPr>
      <w:r w:rsidRPr="00097D9A">
        <w:rPr>
          <w:rFonts w:cs="Arial"/>
          <w:szCs w:val="22"/>
          <w:lang w:eastAsia="en-US"/>
        </w:rPr>
        <w:t xml:space="preserve">Justifiez l’affirmation suivante : Rotterdam est un espace industrialo-portuaire européen de dimension internationale. </w:t>
      </w:r>
    </w:p>
    <w:p w:rsidR="00097D9A" w:rsidRPr="00097D9A" w:rsidRDefault="00097D9A" w:rsidP="00097D9A">
      <w:pPr>
        <w:suppressLineNumbers/>
        <w:autoSpaceDE w:val="0"/>
        <w:autoSpaceDN w:val="0"/>
        <w:adjustRightInd w:val="0"/>
        <w:spacing w:after="0" w:line="240" w:lineRule="auto"/>
        <w:ind w:left="0"/>
        <w:rPr>
          <w:rFonts w:ascii="Calibri" w:hAnsi="Calibri"/>
          <w:lang w:eastAsia="en-US"/>
        </w:rPr>
      </w:pPr>
    </w:p>
    <w:p w:rsidR="00097D9A" w:rsidRPr="00097D9A" w:rsidRDefault="00097D9A" w:rsidP="00097D9A">
      <w:pPr>
        <w:suppressLineNumbers/>
        <w:autoSpaceDE w:val="0"/>
        <w:autoSpaceDN w:val="0"/>
        <w:adjustRightInd w:val="0"/>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1C71" w:rsidRDefault="00781C71" w:rsidP="0053612B">
      <w:pPr>
        <w:spacing w:after="0" w:line="240" w:lineRule="auto"/>
      </w:pPr>
      <w:r>
        <w:separator/>
      </w:r>
    </w:p>
  </w:endnote>
  <w:endnote w:type="continuationSeparator" w:id="0">
    <w:p w:rsidR="00781C71" w:rsidRDefault="00781C71"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B50EE" w:rsidRPr="00FB50EE">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B50EE" w:rsidRPr="00FB50EE">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B50EE" w:rsidRPr="00FB50EE">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B50EE" w:rsidRPr="00FB50EE">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1C71" w:rsidRDefault="00781C71" w:rsidP="0053612B">
      <w:pPr>
        <w:spacing w:after="0" w:line="240" w:lineRule="auto"/>
      </w:pPr>
      <w:r>
        <w:separator/>
      </w:r>
    </w:p>
  </w:footnote>
  <w:footnote w:type="continuationSeparator" w:id="0">
    <w:p w:rsidR="00781C71" w:rsidRDefault="00781C71"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418DA"/>
    <w:multiLevelType w:val="hybridMultilevel"/>
    <w:tmpl w:val="50568B2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2A560F"/>
    <w:multiLevelType w:val="hybridMultilevel"/>
    <w:tmpl w:val="7D860A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009"/>
    <w:rsid w:val="000134A9"/>
    <w:rsid w:val="000508EF"/>
    <w:rsid w:val="00097D9A"/>
    <w:rsid w:val="000A3345"/>
    <w:rsid w:val="000C6554"/>
    <w:rsid w:val="00103C42"/>
    <w:rsid w:val="001056A2"/>
    <w:rsid w:val="00116AFA"/>
    <w:rsid w:val="00121498"/>
    <w:rsid w:val="00133B59"/>
    <w:rsid w:val="001424D6"/>
    <w:rsid w:val="001532D0"/>
    <w:rsid w:val="001718FD"/>
    <w:rsid w:val="001771F9"/>
    <w:rsid w:val="001B701C"/>
    <w:rsid w:val="0022445A"/>
    <w:rsid w:val="00286009"/>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93898"/>
    <w:rsid w:val="006A2305"/>
    <w:rsid w:val="006B1682"/>
    <w:rsid w:val="006E1BD8"/>
    <w:rsid w:val="006E390A"/>
    <w:rsid w:val="007110B0"/>
    <w:rsid w:val="007275B1"/>
    <w:rsid w:val="007471C8"/>
    <w:rsid w:val="007657CA"/>
    <w:rsid w:val="0077193A"/>
    <w:rsid w:val="00772C44"/>
    <w:rsid w:val="00781C71"/>
    <w:rsid w:val="007A7764"/>
    <w:rsid w:val="007C35A8"/>
    <w:rsid w:val="00826640"/>
    <w:rsid w:val="00837873"/>
    <w:rsid w:val="0084040C"/>
    <w:rsid w:val="00857478"/>
    <w:rsid w:val="00860F2B"/>
    <w:rsid w:val="00875770"/>
    <w:rsid w:val="00876012"/>
    <w:rsid w:val="00882A8C"/>
    <w:rsid w:val="00893F38"/>
    <w:rsid w:val="008E1614"/>
    <w:rsid w:val="008E5053"/>
    <w:rsid w:val="008F477F"/>
    <w:rsid w:val="008F72C8"/>
    <w:rsid w:val="00913126"/>
    <w:rsid w:val="00977ADB"/>
    <w:rsid w:val="00995D7A"/>
    <w:rsid w:val="009D1A0F"/>
    <w:rsid w:val="009E0FEA"/>
    <w:rsid w:val="00A234AB"/>
    <w:rsid w:val="00A244BF"/>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B50EE"/>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BF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59"/>
    <w:rsid w:val="00097D9A"/>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ecologique-solidaire.gouv.fr/sites/default/files/rapport%20gouvernance%20axe%20MRS.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lantenne.com/Le-port-de-Rotterdam-frole-la-barre-des-120-millions-de-tonnes_a36916.html" TargetMode="External"/><Relationship Id="rId4" Type="http://schemas.openxmlformats.org/officeDocument/2006/relationships/webSettings" Target="webSettings.xml"/><Relationship Id="rId9" Type="http://schemas.openxmlformats.org/officeDocument/2006/relationships/hyperlink" Target="https://airinfo.org/2017/05/09/airbus-commence-produire-a320-etats-unis/"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1324</Words>
  <Characters>7283</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2023-01-25T11:26:00Z</dcterms:created>
  <dcterms:modified xsi:type="dcterms:W3CDTF">2023-01-25T20:53:00Z</dcterms:modified>
</cp:coreProperties>
</file>