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41B13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BE5239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BE5239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BE5239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A13045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/>
          <w:bCs/>
          <w:lang w:eastAsia="en-US"/>
        </w:rPr>
      </w:pPr>
      <w:r w:rsidRPr="00041B13">
        <w:rPr>
          <w:rFonts w:eastAsiaTheme="minorHAnsi" w:cs="Arial"/>
          <w:b/>
          <w:bCs/>
          <w:lang w:eastAsia="en-US"/>
        </w:rPr>
        <w:lastRenderedPageBreak/>
        <w:t>Première partie : questions (sur 10 points)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/>
          <w:bCs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asciiTheme="minorHAnsi" w:eastAsiaTheme="minorHAnsi" w:hAnsiTheme="minorHAnsi" w:cstheme="minorBidi"/>
          <w:lang w:eastAsia="en-US"/>
        </w:rPr>
      </w:pPr>
    </w:p>
    <w:p w:rsidR="00041B13" w:rsidRPr="00041B13" w:rsidRDefault="00041B13" w:rsidP="00041B13">
      <w:pPr>
        <w:spacing w:after="0" w:line="360" w:lineRule="auto"/>
        <w:ind w:left="0"/>
        <w:rPr>
          <w:rFonts w:eastAsia="Times New Roman" w:cs="Arial"/>
        </w:rPr>
      </w:pPr>
      <w:r w:rsidRPr="00041B13">
        <w:rPr>
          <w:rFonts w:eastAsia="Times New Roman" w:cs="Arial"/>
        </w:rPr>
        <w:t>1. Choisissez deux dates-clefs de la période révolutionnaire et impériale (1789-1815) et expliquez-les brièvement.</w:t>
      </w:r>
    </w:p>
    <w:p w:rsidR="00041B13" w:rsidRPr="00041B13" w:rsidRDefault="00041B13" w:rsidP="00041B13">
      <w:pPr>
        <w:spacing w:before="100" w:beforeAutospacing="1" w:after="0" w:line="360" w:lineRule="auto"/>
        <w:ind w:left="0"/>
        <w:rPr>
          <w:rFonts w:eastAsia="Times New Roman" w:cs="Arial"/>
        </w:rPr>
      </w:pPr>
      <w:r w:rsidRPr="00041B13">
        <w:rPr>
          <w:rFonts w:eastAsia="Times New Roman" w:cs="Arial"/>
        </w:rPr>
        <w:t>2. Justifiez la phrase suivante : « Napoléon diffuse des principes de la Révolution française en Europe. »</w:t>
      </w:r>
    </w:p>
    <w:p w:rsidR="00041B13" w:rsidRPr="00041B13" w:rsidRDefault="00041B13" w:rsidP="00041B13">
      <w:pPr>
        <w:spacing w:after="200" w:line="360" w:lineRule="auto"/>
        <w:ind w:left="0"/>
        <w:jc w:val="both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200" w:line="360" w:lineRule="auto"/>
        <w:ind w:left="0"/>
        <w:jc w:val="both"/>
        <w:rPr>
          <w:rFonts w:eastAsiaTheme="minorHAnsi" w:cs="Arial"/>
          <w:sz w:val="22"/>
          <w:szCs w:val="22"/>
          <w:lang w:eastAsia="en-US"/>
        </w:rPr>
      </w:pPr>
      <w:r w:rsidRPr="00041B13">
        <w:rPr>
          <w:rFonts w:eastAsiaTheme="minorHAnsi" w:cs="Arial"/>
          <w:lang w:eastAsia="en-US"/>
        </w:rPr>
        <w:t xml:space="preserve">3. Choisissez, parmi ces monarchies européennes, celles qui appartiennent à la Sainte Alliance. Recopiez-les sur votre copie. </w:t>
      </w:r>
    </w:p>
    <w:p w:rsidR="00041B13" w:rsidRPr="00041B13" w:rsidRDefault="00041B13" w:rsidP="00041B13">
      <w:pPr>
        <w:numPr>
          <w:ilvl w:val="0"/>
          <w:numId w:val="4"/>
        </w:numPr>
        <w:spacing w:after="200" w:line="360" w:lineRule="auto"/>
        <w:contextualSpacing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Empire d’Autriche ; </w:t>
      </w:r>
    </w:p>
    <w:p w:rsidR="00041B13" w:rsidRPr="00041B13" w:rsidRDefault="00041B13" w:rsidP="00041B13">
      <w:pPr>
        <w:numPr>
          <w:ilvl w:val="0"/>
          <w:numId w:val="4"/>
        </w:numPr>
        <w:spacing w:after="200" w:line="360" w:lineRule="auto"/>
        <w:contextualSpacing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Royaume de Prusse ;</w:t>
      </w:r>
    </w:p>
    <w:p w:rsidR="00041B13" w:rsidRPr="00041B13" w:rsidRDefault="00041B13" w:rsidP="00041B13">
      <w:pPr>
        <w:numPr>
          <w:ilvl w:val="0"/>
          <w:numId w:val="4"/>
        </w:numPr>
        <w:spacing w:after="200" w:line="360" w:lineRule="auto"/>
        <w:contextualSpacing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Royaume de Piémont-Sardaigne ;</w:t>
      </w:r>
    </w:p>
    <w:p w:rsidR="00041B13" w:rsidRPr="00041B13" w:rsidRDefault="00041B13" w:rsidP="00041B13">
      <w:pPr>
        <w:numPr>
          <w:ilvl w:val="0"/>
          <w:numId w:val="4"/>
        </w:numPr>
        <w:spacing w:after="200" w:line="360" w:lineRule="auto"/>
        <w:contextualSpacing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Empire de Russie ;</w:t>
      </w:r>
    </w:p>
    <w:p w:rsidR="00041B13" w:rsidRPr="00041B13" w:rsidRDefault="00041B13" w:rsidP="00041B13">
      <w:pPr>
        <w:numPr>
          <w:ilvl w:val="0"/>
          <w:numId w:val="4"/>
        </w:numPr>
        <w:spacing w:after="200" w:line="360" w:lineRule="auto"/>
        <w:contextualSpacing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Royaume-Uni.</w:t>
      </w:r>
    </w:p>
    <w:p w:rsidR="00041B13" w:rsidRPr="00041B13" w:rsidRDefault="00041B13" w:rsidP="00041B13">
      <w:pPr>
        <w:spacing w:after="200" w:line="360" w:lineRule="auto"/>
        <w:ind w:left="1080"/>
        <w:jc w:val="both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200" w:line="360" w:lineRule="auto"/>
        <w:ind w:left="0"/>
        <w:rPr>
          <w:rFonts w:eastAsia="Times New Roman" w:cs="Arial"/>
        </w:rPr>
      </w:pPr>
      <w:r w:rsidRPr="00041B13">
        <w:rPr>
          <w:rFonts w:eastAsiaTheme="minorHAnsi" w:cs="Arial"/>
          <w:lang w:eastAsia="en-US"/>
        </w:rPr>
        <w:t xml:space="preserve">4. </w:t>
      </w:r>
      <w:r w:rsidRPr="00041B13">
        <w:rPr>
          <w:rFonts w:eastAsia="Times New Roman" w:cs="Arial"/>
        </w:rPr>
        <w:t>En vous appuyant sur un exemple, proposez une définition de la périurbanisation. </w:t>
      </w:r>
    </w:p>
    <w:p w:rsidR="00041B13" w:rsidRPr="00041B13" w:rsidRDefault="00041B13" w:rsidP="00041B13">
      <w:pPr>
        <w:spacing w:after="200" w:line="360" w:lineRule="auto"/>
        <w:ind w:left="0"/>
        <w:rPr>
          <w:rFonts w:eastAsia="Times New Roman" w:cs="Arial"/>
        </w:rPr>
      </w:pPr>
      <w:r w:rsidRPr="00041B13">
        <w:rPr>
          <w:rFonts w:eastAsia="Times New Roman" w:cs="Arial"/>
        </w:rPr>
        <w:t>5. Citez deux caractéristiques d’un espace rural. </w:t>
      </w:r>
    </w:p>
    <w:p w:rsidR="00041B13" w:rsidRPr="00041B13" w:rsidRDefault="00041B13" w:rsidP="00041B13">
      <w:pPr>
        <w:spacing w:after="200" w:line="360" w:lineRule="auto"/>
        <w:ind w:left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asciiTheme="minorHAnsi" w:eastAsiaTheme="minorHAnsi" w:hAnsiTheme="minorHAnsi" w:cstheme="minorBidi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asciiTheme="minorHAnsi" w:eastAsiaTheme="minorHAnsi" w:hAnsiTheme="minorHAnsi" w:cstheme="minorBidi"/>
          <w:lang w:eastAsia="en-US"/>
        </w:rPr>
      </w:pPr>
    </w:p>
    <w:p w:rsidR="00041B13" w:rsidRPr="00041B13" w:rsidRDefault="00041B13" w:rsidP="00041B13">
      <w:pPr>
        <w:spacing w:after="200" w:line="276" w:lineRule="auto"/>
        <w:ind w:left="0"/>
        <w:rPr>
          <w:rFonts w:eastAsiaTheme="minorHAnsi" w:cs="Arial"/>
          <w:b/>
          <w:bCs/>
          <w:lang w:eastAsia="en-US"/>
        </w:rPr>
      </w:pPr>
      <w:r w:rsidRPr="00041B13">
        <w:rPr>
          <w:rFonts w:eastAsiaTheme="minorHAnsi" w:cs="Arial"/>
          <w:b/>
          <w:bCs/>
          <w:lang w:eastAsia="en-US"/>
        </w:rPr>
        <w:br w:type="page"/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/>
          <w:bCs/>
          <w:lang w:eastAsia="en-US"/>
        </w:rPr>
      </w:pPr>
      <w:r w:rsidRPr="00041B13">
        <w:rPr>
          <w:rFonts w:eastAsiaTheme="minorHAnsi" w:cs="Arial"/>
          <w:b/>
          <w:bCs/>
          <w:lang w:eastAsia="en-US"/>
        </w:rPr>
        <w:lastRenderedPageBreak/>
        <w:t>Deuxième partie : Analyse de document(s) (sur 10 points)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/>
          <w:bCs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Cs/>
          <w:lang w:eastAsia="en-US"/>
        </w:rPr>
      </w:pPr>
      <w:r w:rsidRPr="00041B13">
        <w:rPr>
          <w:rFonts w:eastAsiaTheme="minorHAnsi" w:cs="Arial"/>
          <w:bCs/>
          <w:lang w:eastAsia="en-US"/>
        </w:rPr>
        <w:t xml:space="preserve">Le candidat choisit l’un des deux sujets au choix. 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Cs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Cs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jc w:val="center"/>
        <w:rPr>
          <w:rFonts w:eastAsiaTheme="minorHAnsi" w:cs="Arial"/>
          <w:b/>
          <w:lang w:eastAsia="en-US"/>
        </w:rPr>
      </w:pPr>
      <w:r w:rsidRPr="00041B13">
        <w:rPr>
          <w:rFonts w:eastAsiaTheme="minorHAnsi" w:cs="Arial"/>
          <w:b/>
          <w:bCs/>
          <w:lang w:eastAsia="en-US"/>
        </w:rPr>
        <w:t>Sujet d’étude : Les établissements Schneider au Creusot sous la Deuxième République et le Second Empire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u w:val="single"/>
          <w:lang w:eastAsia="en-US"/>
        </w:rPr>
        <w:t>Document 1 :</w:t>
      </w:r>
      <w:r w:rsidRPr="00041B13">
        <w:rPr>
          <w:rFonts w:eastAsiaTheme="minorHAnsi" w:cs="Arial"/>
          <w:lang w:eastAsia="en-US"/>
        </w:rPr>
        <w:t xml:space="preserve"> Le centenaire de Schneider.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« Le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041B13">
        <w:rPr>
          <w:rFonts w:eastAsiaTheme="minorHAnsi" w:cs="Arial"/>
          <w:lang w:eastAsia="en-US"/>
        </w:rPr>
        <w:t>Burdy</w:t>
      </w:r>
      <w:proofErr w:type="spellEnd"/>
      <w:r w:rsidRPr="00041B13">
        <w:rPr>
          <w:rFonts w:eastAsiaTheme="minorHAnsi" w:cs="Arial"/>
          <w:lang w:eastAsia="en-US"/>
        </w:rPr>
        <w:t xml:space="preserve">, a prononcé, à cette occasion, un discours dont nous donnons ci-après l’analyse : 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En termes émus et sincères, il affirme les sentiments de reconnaissance et de profond attachement pour la famille Schneider, qui sont nés de l’étroite union de la ville et de l’usine.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Cette union, la population tout entière la manifeste en ce jour avec un caractère saisissant d’unanimité pour célébrer la fête de son fondateur.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Les bienfaits d’Eugène Schneider ont été continués par son fils Henri Schneider qui, pendant plus de vingt ans, a donné une nouvelle impulsion au développement simultané de la grande industrie et de la ville du Creusot.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Dans la réponse qu’il a faite, M. Schneider a dit notamment :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lastRenderedPageBreak/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u w:val="single"/>
          <w:lang w:eastAsia="en-US"/>
        </w:rPr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 w:rsidRPr="00041B13">
        <w:rPr>
          <w:rFonts w:eastAsiaTheme="minorHAnsi" w:cs="Arial"/>
          <w:lang w:eastAsia="en-US"/>
        </w:rPr>
        <w:t> ».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color w:val="000000"/>
          <w:lang w:eastAsia="en-US"/>
        </w:rPr>
        <w:t>Source :</w:t>
      </w:r>
      <w:r w:rsidRPr="00041B13">
        <w:rPr>
          <w:rFonts w:eastAsiaTheme="minorHAnsi" w:cs="Arial"/>
          <w:i/>
          <w:color w:val="000000"/>
          <w:lang w:eastAsia="en-US"/>
        </w:rPr>
        <w:t xml:space="preserve"> Le</w:t>
      </w:r>
      <w:r w:rsidRPr="00041B13">
        <w:rPr>
          <w:rFonts w:eastAsiaTheme="minorHAnsi" w:cs="Arial"/>
          <w:i/>
          <w:lang w:eastAsia="en-US"/>
        </w:rPr>
        <w:t xml:space="preserve"> Génie français et l’Ingénieur civil réunis : journal des ingénieurs, des constructeurs-mécaniciens et fondeurs etc.</w:t>
      </w:r>
      <w:r w:rsidRPr="00041B13">
        <w:rPr>
          <w:rFonts w:eastAsiaTheme="minorHAnsi" w:cs="Arial"/>
          <w:lang w:eastAsia="en-US"/>
        </w:rPr>
        <w:t xml:space="preserve">, XIIIe année, n° 13, 1 juillet 1905, p. 9. </w:t>
      </w:r>
    </w:p>
    <w:p w:rsidR="00041B13" w:rsidRPr="00041B13" w:rsidRDefault="00041B13" w:rsidP="00041B13">
      <w:pPr>
        <w:spacing w:after="0" w:line="240" w:lineRule="auto"/>
        <w:ind w:left="0" w:firstLine="708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u w:val="single"/>
          <w:lang w:eastAsia="en-US"/>
        </w:rPr>
        <w:t>Document 2 :</w:t>
      </w:r>
      <w:r w:rsidRPr="00041B13">
        <w:rPr>
          <w:rFonts w:eastAsiaTheme="minorHAnsi" w:cs="Arial"/>
          <w:lang w:eastAsia="en-US"/>
        </w:rPr>
        <w:t xml:space="preserve"> la cité Villedieu, au Creusot, à la fin du XIX</w:t>
      </w:r>
      <w:r w:rsidRPr="00041B13">
        <w:rPr>
          <w:rFonts w:eastAsiaTheme="minorHAnsi" w:cs="Arial"/>
          <w:vertAlign w:val="superscript"/>
          <w:lang w:eastAsia="en-US"/>
        </w:rPr>
        <w:t>e</w:t>
      </w:r>
      <w:r w:rsidRPr="00041B13">
        <w:rPr>
          <w:rFonts w:eastAsiaTheme="minorHAnsi" w:cs="Arial"/>
          <w:lang w:eastAsia="en-US"/>
        </w:rPr>
        <w:t xml:space="preserve"> siècle.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La cité Villedieu est construite par l'entreprise Schneider en 1865 pour les ouvriers et leurs familles. L'ensemble regroupe des maisons individuelles de deux pièces avec jardin.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jc w:val="center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noProof/>
        </w:rPr>
        <w:drawing>
          <wp:inline distT="0" distB="0" distL="0" distR="0" wp14:anchorId="011DBD32" wp14:editId="6CEFE1AE">
            <wp:extent cx="5945133" cy="3600450"/>
            <wp:effectExtent l="0" t="0" r="0" b="0"/>
            <wp:docPr id="3" name="Image 3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B13" w:rsidRPr="00041B13" w:rsidRDefault="00041B13" w:rsidP="00041B13">
      <w:pPr>
        <w:spacing w:after="0" w:line="240" w:lineRule="auto"/>
        <w:ind w:left="0"/>
        <w:jc w:val="right"/>
        <w:rPr>
          <w:rFonts w:eastAsiaTheme="minorHAnsi" w:cs="Arial"/>
          <w:color w:val="000000"/>
          <w:u w:val="single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color w:val="000000"/>
          <w:lang w:eastAsia="en-US"/>
        </w:rPr>
        <w:t>Source : Service</w:t>
      </w:r>
      <w:r w:rsidRPr="00041B13">
        <w:rPr>
          <w:rFonts w:eastAsiaTheme="minorHAnsi" w:cs="Arial"/>
          <w:lang w:eastAsia="en-US"/>
        </w:rPr>
        <w:t xml:space="preserve"> éducatif écomusée Le Creusot-Montceau 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Default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br w:type="page"/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lastRenderedPageBreak/>
        <w:t>Questions :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Décrivez les logements des ouvriers au Creusot (document 2).</w:t>
      </w:r>
    </w:p>
    <w:p w:rsidR="00041B13" w:rsidRPr="00041B13" w:rsidRDefault="00041B13" w:rsidP="00041B13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Montrez que les Schneider veillent au bien-être matériel et moral de leurs ouvriers (documents 1 et 2).</w:t>
      </w:r>
    </w:p>
    <w:p w:rsidR="00041B13" w:rsidRPr="00041B13" w:rsidRDefault="00041B13" w:rsidP="00041B13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Précisez le regard que portent les ouvriers et employés du Creusot sur leur patron (document 1).</w:t>
      </w:r>
    </w:p>
    <w:p w:rsidR="00041B13" w:rsidRPr="00041B13" w:rsidRDefault="00041B13" w:rsidP="00041B13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Expliquez la phrase soulignée dans le document 1. </w:t>
      </w:r>
    </w:p>
    <w:p w:rsidR="00041B13" w:rsidRPr="00041B13" w:rsidRDefault="00041B13" w:rsidP="00041B13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Eugène Schneider joua un rôle économique, social et politique sur toute la ville et au-delà. Justifiez cette affirmation.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200" w:line="276" w:lineRule="auto"/>
        <w:ind w:left="0"/>
        <w:jc w:val="center"/>
        <w:rPr>
          <w:rFonts w:eastAsiaTheme="minorHAnsi" w:cs="Arial"/>
          <w:b/>
          <w:bCs/>
          <w:lang w:eastAsia="en-US"/>
        </w:rPr>
      </w:pPr>
      <w:r w:rsidRPr="00041B13">
        <w:rPr>
          <w:rFonts w:eastAsiaTheme="minorHAnsi" w:cs="Arial"/>
          <w:b/>
          <w:bCs/>
          <w:lang w:eastAsia="en-US"/>
        </w:rPr>
        <w:br w:type="page"/>
      </w:r>
      <w:r w:rsidRPr="00041B13">
        <w:rPr>
          <w:rFonts w:eastAsiaTheme="minorHAnsi" w:cs="Arial"/>
          <w:b/>
          <w:bCs/>
          <w:lang w:eastAsia="en-US"/>
        </w:rPr>
        <w:lastRenderedPageBreak/>
        <w:t>Sujet d’étude : Victor Hugo sous la Deuxième République et le Second Empire.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color w:val="FF0000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u w:val="single"/>
          <w:lang w:eastAsia="en-US"/>
        </w:rPr>
        <w:t>Document 1 :</w:t>
      </w:r>
      <w:r w:rsidRPr="00041B13">
        <w:rPr>
          <w:rFonts w:eastAsiaTheme="minorHAnsi" w:cs="Arial"/>
          <w:lang w:eastAsia="en-US"/>
        </w:rPr>
        <w:t xml:space="preserve"> Victor Hugo relate la journée du 24 février 1848.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b/>
          <w:u w:val="single"/>
          <w:lang w:eastAsia="en-US"/>
        </w:rPr>
      </w:pPr>
    </w:p>
    <w:p w:rsidR="00041B13" w:rsidRPr="00041B13" w:rsidRDefault="00041B13" w:rsidP="00041B13">
      <w:pPr>
        <w:spacing w:after="0" w:line="276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« 24 février 1848</w:t>
      </w:r>
    </w:p>
    <w:p w:rsidR="00041B13" w:rsidRPr="00041B13" w:rsidRDefault="00041B13" w:rsidP="00041B13">
      <w:pPr>
        <w:spacing w:after="0" w:line="276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041B13">
        <w:rPr>
          <w:rFonts w:eastAsiaTheme="minorHAnsi" w:cs="Arial"/>
          <w:lang w:eastAsia="en-US"/>
        </w:rPr>
        <w:t>Launaye</w:t>
      </w:r>
      <w:proofErr w:type="spellEnd"/>
      <w:r w:rsidRPr="00041B13">
        <w:rPr>
          <w:rFonts w:eastAsiaTheme="minorHAnsi" w:cs="Arial"/>
          <w:lang w:eastAsia="en-US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041B13" w:rsidRPr="00041B13" w:rsidRDefault="00041B13" w:rsidP="00041B13">
      <w:pPr>
        <w:spacing w:after="0" w:line="276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Là s’agitait une foule ardente, où les ouvriers dominaient. Beaucoup armés de fusils pris aux casernes ou livrés par les soldats. […]</w:t>
      </w:r>
    </w:p>
    <w:p w:rsidR="00041B13" w:rsidRPr="00041B13" w:rsidRDefault="00041B13" w:rsidP="00041B13">
      <w:pPr>
        <w:spacing w:after="0" w:line="276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041B13" w:rsidRPr="00041B13" w:rsidRDefault="00041B13" w:rsidP="00041B13">
      <w:pPr>
        <w:spacing w:after="0" w:line="276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Quand j’annonçai la Régence de la duchesse d’Orléans, ce furent de violentes dénégations : « Non ! Non ! Pas de Régence ! A bas les Bourbons ! Ni roi ni reine ! Pas de maîtres ! » je répétai : « Pas de maîtres ! Je n’en veux pas plus que vous, j’ai défendu toute ma vie la liberté ! » </w:t>
      </w:r>
    </w:p>
    <w:p w:rsidR="00041B13" w:rsidRPr="00041B13" w:rsidRDefault="00041B13" w:rsidP="00041B13">
      <w:pPr>
        <w:spacing w:after="0" w:line="276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[…]</w:t>
      </w:r>
    </w:p>
    <w:p w:rsidR="00041B13" w:rsidRPr="00041B13" w:rsidRDefault="00041B13" w:rsidP="00041B13">
      <w:pPr>
        <w:spacing w:after="0" w:line="276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Un homme en blouse cria : « Silence au pair de France</w:t>
      </w:r>
      <w:r w:rsidRPr="00041B13">
        <w:rPr>
          <w:rFonts w:eastAsiaTheme="minorHAnsi" w:cs="Arial"/>
          <w:vertAlign w:val="superscript"/>
          <w:lang w:eastAsia="en-US"/>
        </w:rPr>
        <w:t>1</w:t>
      </w:r>
      <w:r w:rsidRPr="00041B13">
        <w:rPr>
          <w:rFonts w:eastAsiaTheme="minorHAnsi" w:cs="Arial"/>
          <w:lang w:eastAsia="en-US"/>
        </w:rPr>
        <w:t> ! À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Note : </w:t>
      </w:r>
    </w:p>
    <w:p w:rsidR="00041B13" w:rsidRPr="00041B13" w:rsidRDefault="00041B13" w:rsidP="00041B13">
      <w:pPr>
        <w:numPr>
          <w:ilvl w:val="0"/>
          <w:numId w:val="2"/>
        </w:numPr>
        <w:spacing w:after="0" w:line="240" w:lineRule="auto"/>
        <w:jc w:val="both"/>
        <w:rPr>
          <w:rFonts w:eastAsiaTheme="minorHAnsi" w:cs="Arial"/>
          <w:sz w:val="21"/>
          <w:lang w:eastAsia="en-US"/>
        </w:rPr>
      </w:pPr>
      <w:r w:rsidRPr="00041B13">
        <w:rPr>
          <w:rFonts w:eastAsiaTheme="minorHAnsi" w:cs="Arial"/>
          <w:sz w:val="21"/>
          <w:lang w:eastAsia="en-US"/>
        </w:rPr>
        <w:t>Pair de France : titre pour ceux qui font partir de la Chambre des pairs, chambre du Parlement de 1814 à 1848. Hugo est nommé pair de France par le roi en 1845.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Source : Victor Hugo, </w:t>
      </w:r>
      <w:r w:rsidRPr="00041B13">
        <w:rPr>
          <w:rFonts w:eastAsiaTheme="minorHAnsi" w:cs="Arial"/>
          <w:i/>
          <w:lang w:eastAsia="en-US"/>
        </w:rPr>
        <w:t>Choses Vues. Souvenirs, journaux, cahiers. 1830-1848</w:t>
      </w:r>
      <w:r w:rsidRPr="00041B13">
        <w:rPr>
          <w:rFonts w:eastAsiaTheme="minorHAnsi" w:cs="Arial"/>
          <w:lang w:eastAsia="en-US"/>
        </w:rPr>
        <w:t xml:space="preserve">, p 629-631, Gallimard, 1972. 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</w:p>
    <w:p w:rsidR="00041B13" w:rsidRDefault="00041B13">
      <w:pPr>
        <w:spacing w:after="0" w:line="240" w:lineRule="auto"/>
        <w:ind w:left="0"/>
        <w:rPr>
          <w:rFonts w:eastAsiaTheme="minorHAnsi" w:cs="Arial"/>
          <w:u w:val="single"/>
          <w:lang w:eastAsia="en-US"/>
        </w:rPr>
      </w:pPr>
      <w:r>
        <w:rPr>
          <w:rFonts w:eastAsiaTheme="minorHAnsi" w:cs="Arial"/>
          <w:u w:val="single"/>
          <w:lang w:eastAsia="en-US"/>
        </w:rPr>
        <w:br w:type="page"/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u w:val="single"/>
          <w:lang w:eastAsia="en-US"/>
        </w:rPr>
        <w:lastRenderedPageBreak/>
        <w:t>Document 2 :</w:t>
      </w:r>
      <w:r w:rsidRPr="00041B13">
        <w:rPr>
          <w:rFonts w:eastAsiaTheme="minorHAnsi" w:cs="Arial"/>
          <w:b/>
          <w:lang w:eastAsia="en-US"/>
        </w:rPr>
        <w:t xml:space="preserve"> </w:t>
      </w:r>
      <w:r w:rsidRPr="00041B13">
        <w:rPr>
          <w:rFonts w:eastAsiaTheme="minorHAnsi" w:cs="Arial"/>
          <w:lang w:eastAsia="en-US"/>
        </w:rPr>
        <w:t xml:space="preserve">Hugo, en exil en Belgique puis à Jersey. 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76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 « Jersey, octobre 1852.</w:t>
      </w:r>
    </w:p>
    <w:p w:rsidR="00041B13" w:rsidRPr="00041B13" w:rsidRDefault="00041B13" w:rsidP="00041B13">
      <w:pPr>
        <w:spacing w:after="0" w:line="276" w:lineRule="auto"/>
        <w:ind w:left="0"/>
        <w:jc w:val="both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Que M. Bonaparte se le dise bien, il n’aura pas raison de nous. Qu’il multiplie les obstacles, qu’il entoure son empire de lois Faider</w:t>
      </w:r>
      <w:r w:rsidRPr="00041B13">
        <w:rPr>
          <w:rFonts w:eastAsiaTheme="minorHAnsi" w:cs="Arial"/>
          <w:vertAlign w:val="superscript"/>
          <w:lang w:eastAsia="en-US"/>
        </w:rPr>
        <w:t>1</w:t>
      </w:r>
      <w:r w:rsidRPr="00041B13">
        <w:rPr>
          <w:rFonts w:eastAsiaTheme="minorHAnsi" w:cs="Arial"/>
          <w:lang w:eastAsia="en-US"/>
        </w:rPr>
        <w:t xml:space="preserve">, qu’il nous fasse traquer en Belgique, en Suisse, en Espagne, en Piémont, nous renaîtrons sous les persécutions et nous nous multiplierons comme l’obstacle. À quiconque voudrait nous imposer ou nous demander trêve pour cet homme, nous répondrons : </w:t>
      </w:r>
      <w:r w:rsidRPr="00041B13">
        <w:rPr>
          <w:rFonts w:eastAsiaTheme="minorHAnsi" w:cs="Arial"/>
          <w:i/>
          <w:lang w:eastAsia="en-US"/>
        </w:rPr>
        <w:t>non possumus</w:t>
      </w:r>
      <w:r w:rsidRPr="00041B13">
        <w:rPr>
          <w:rFonts w:eastAsiaTheme="minorHAnsi" w:cs="Arial"/>
          <w:i/>
          <w:vertAlign w:val="superscript"/>
          <w:lang w:eastAsia="en-US"/>
        </w:rPr>
        <w:t>2</w:t>
      </w:r>
      <w:r w:rsidRPr="00041B13">
        <w:rPr>
          <w:rFonts w:eastAsiaTheme="minorHAnsi" w:cs="Arial"/>
          <w:lang w:eastAsia="en-US"/>
        </w:rPr>
        <w:t>. Nous républicains, nous proscrits</w:t>
      </w:r>
      <w:r w:rsidRPr="00041B13">
        <w:rPr>
          <w:rFonts w:eastAsiaTheme="minorHAnsi" w:cs="Arial"/>
          <w:vertAlign w:val="superscript"/>
          <w:lang w:eastAsia="en-US"/>
        </w:rPr>
        <w:t>3</w:t>
      </w:r>
      <w:r w:rsidRPr="00041B13">
        <w:rPr>
          <w:rFonts w:eastAsiaTheme="minorHAnsi" w:cs="Arial"/>
          <w:lang w:eastAsia="en-US"/>
        </w:rPr>
        <w:t xml:space="preserve">, nous sommes le devoir vivant. Que M. Bonaparte en prenne son parti, </w:t>
      </w:r>
      <w:r w:rsidRPr="00041B13">
        <w:rPr>
          <w:rFonts w:eastAsiaTheme="minorHAnsi" w:cs="Arial"/>
          <w:u w:val="single"/>
          <w:lang w:eastAsia="en-US"/>
        </w:rPr>
        <w:t>nous lui avons fait la guerre dans la rue</w:t>
      </w:r>
      <w:r w:rsidRPr="00041B13">
        <w:rPr>
          <w:rFonts w:eastAsiaTheme="minorHAnsi" w:cs="Arial"/>
          <w:lang w:eastAsia="en-US"/>
        </w:rPr>
        <w:t xml:space="preserve">, nous lui ferons la guerre dans les catacombes. Tant que nous avons pu être au grand jour, nous l’avons combattu au grand jour ; maintenant nous sommes dans la nuit, nous combattrons dans la nuit. » </w:t>
      </w:r>
    </w:p>
    <w:p w:rsidR="00041B13" w:rsidRPr="00041B13" w:rsidRDefault="00041B13" w:rsidP="00041B13">
      <w:pPr>
        <w:spacing w:after="0" w:line="240" w:lineRule="auto"/>
        <w:ind w:left="0"/>
        <w:jc w:val="both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Notes : </w:t>
      </w:r>
    </w:p>
    <w:p w:rsidR="00041B13" w:rsidRPr="00041B13" w:rsidRDefault="00041B13" w:rsidP="00041B13">
      <w:pPr>
        <w:numPr>
          <w:ilvl w:val="0"/>
          <w:numId w:val="3"/>
        </w:numPr>
        <w:spacing w:after="0" w:line="240" w:lineRule="auto"/>
        <w:rPr>
          <w:rFonts w:eastAsiaTheme="minorHAnsi" w:cs="Arial"/>
          <w:sz w:val="21"/>
          <w:lang w:eastAsia="en-US"/>
        </w:rPr>
      </w:pPr>
      <w:r w:rsidRPr="00041B13">
        <w:rPr>
          <w:rFonts w:eastAsiaTheme="minorHAnsi" w:cs="Arial"/>
          <w:sz w:val="21"/>
          <w:lang w:eastAsia="en-US"/>
        </w:rPr>
        <w:t xml:space="preserve">Loi </w:t>
      </w:r>
      <w:proofErr w:type="spellStart"/>
      <w:r w:rsidRPr="00041B13">
        <w:rPr>
          <w:rFonts w:eastAsiaTheme="minorHAnsi" w:cs="Arial"/>
          <w:sz w:val="21"/>
          <w:lang w:eastAsia="en-US"/>
        </w:rPr>
        <w:t>Faider</w:t>
      </w:r>
      <w:proofErr w:type="spellEnd"/>
      <w:r w:rsidRPr="00041B13">
        <w:rPr>
          <w:rFonts w:eastAsiaTheme="minorHAnsi" w:cs="Arial"/>
          <w:sz w:val="21"/>
          <w:lang w:eastAsia="en-US"/>
        </w:rPr>
        <w:t> : loi qui, selon Victor Hugo, aurait favorisé son expulsion de Belgique.</w:t>
      </w:r>
    </w:p>
    <w:p w:rsidR="00041B13" w:rsidRPr="00041B13" w:rsidRDefault="00041B13" w:rsidP="00041B13">
      <w:pPr>
        <w:numPr>
          <w:ilvl w:val="0"/>
          <w:numId w:val="3"/>
        </w:numPr>
        <w:spacing w:after="0" w:line="240" w:lineRule="auto"/>
        <w:rPr>
          <w:rFonts w:eastAsiaTheme="minorHAnsi" w:cs="Arial"/>
          <w:sz w:val="21"/>
          <w:lang w:eastAsia="en-US"/>
        </w:rPr>
      </w:pPr>
      <w:r w:rsidRPr="00041B13">
        <w:rPr>
          <w:rFonts w:eastAsiaTheme="minorHAnsi" w:cs="Arial"/>
          <w:i/>
          <w:sz w:val="21"/>
          <w:lang w:eastAsia="en-US"/>
        </w:rPr>
        <w:t xml:space="preserve">Non </w:t>
      </w:r>
      <w:proofErr w:type="spellStart"/>
      <w:r w:rsidRPr="00041B13">
        <w:rPr>
          <w:rFonts w:eastAsiaTheme="minorHAnsi" w:cs="Arial"/>
          <w:i/>
          <w:sz w:val="21"/>
          <w:lang w:eastAsia="en-US"/>
        </w:rPr>
        <w:t>possumus</w:t>
      </w:r>
      <w:proofErr w:type="spellEnd"/>
      <w:r w:rsidRPr="00041B13">
        <w:rPr>
          <w:rFonts w:eastAsiaTheme="minorHAnsi" w:cs="Arial"/>
          <w:sz w:val="21"/>
          <w:lang w:eastAsia="en-US"/>
        </w:rPr>
        <w:t> : locution latine signifiant un refus catégorique.</w:t>
      </w:r>
    </w:p>
    <w:p w:rsidR="00041B13" w:rsidRPr="00041B13" w:rsidRDefault="00041B13" w:rsidP="00041B13">
      <w:pPr>
        <w:numPr>
          <w:ilvl w:val="0"/>
          <w:numId w:val="3"/>
        </w:numPr>
        <w:spacing w:after="0" w:line="240" w:lineRule="auto"/>
        <w:rPr>
          <w:rFonts w:eastAsiaTheme="minorHAnsi" w:cs="Arial"/>
          <w:sz w:val="21"/>
          <w:lang w:eastAsia="en-US"/>
        </w:rPr>
      </w:pPr>
      <w:r w:rsidRPr="00041B13">
        <w:rPr>
          <w:rFonts w:eastAsiaTheme="minorHAnsi" w:cs="Arial"/>
          <w:sz w:val="21"/>
          <w:lang w:eastAsia="en-US"/>
        </w:rPr>
        <w:t xml:space="preserve">Proscrit : qui est exilé. 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Source : Victor Hugo, </w:t>
      </w:r>
      <w:r w:rsidRPr="00041B13">
        <w:rPr>
          <w:rFonts w:eastAsiaTheme="minorHAnsi" w:cs="Arial"/>
          <w:i/>
          <w:lang w:eastAsia="en-US"/>
        </w:rPr>
        <w:t>Choses Vues. Souvenirs, journaux, cahiers. 1849-1870</w:t>
      </w:r>
      <w:r w:rsidRPr="00041B13">
        <w:rPr>
          <w:rFonts w:eastAsiaTheme="minorHAnsi" w:cs="Arial"/>
          <w:lang w:eastAsia="en-US"/>
        </w:rPr>
        <w:t xml:space="preserve">, p 276 et 287, Gallimard, 1972. 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u w:val="single"/>
          <w:lang w:eastAsia="en-US"/>
        </w:rPr>
      </w:pPr>
      <w:r w:rsidRPr="00041B13">
        <w:rPr>
          <w:rFonts w:eastAsiaTheme="minorHAnsi" w:cs="Arial"/>
          <w:u w:val="single"/>
          <w:lang w:eastAsia="en-US"/>
        </w:rPr>
        <w:t xml:space="preserve">Questions : 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lang w:eastAsia="en-US"/>
        </w:rPr>
      </w:pPr>
    </w:p>
    <w:p w:rsidR="00041B13" w:rsidRPr="00041B13" w:rsidRDefault="00041B13" w:rsidP="00041B13">
      <w:pPr>
        <w:numPr>
          <w:ilvl w:val="0"/>
          <w:numId w:val="6"/>
        </w:numPr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Présentez le contexte historique dans lequel est écrit le document 1.  </w:t>
      </w:r>
    </w:p>
    <w:p w:rsidR="00041B13" w:rsidRPr="00041B13" w:rsidRDefault="00041B13" w:rsidP="00041B13">
      <w:pPr>
        <w:numPr>
          <w:ilvl w:val="0"/>
          <w:numId w:val="6"/>
        </w:numPr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Définissez le régime politique que soutient Victor Hugo dans le document 1. </w:t>
      </w:r>
    </w:p>
    <w:p w:rsidR="00041B13" w:rsidRPr="00041B13" w:rsidRDefault="00041B13" w:rsidP="00041B13">
      <w:pPr>
        <w:numPr>
          <w:ilvl w:val="0"/>
          <w:numId w:val="6"/>
        </w:numPr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Montrez que l’opinion de Victor Hugo a changé entre 1848 et 1852 (documents 1 et 2).</w:t>
      </w:r>
    </w:p>
    <w:p w:rsidR="00041B13" w:rsidRPr="00041B13" w:rsidRDefault="00041B13" w:rsidP="00041B13">
      <w:pPr>
        <w:numPr>
          <w:ilvl w:val="0"/>
          <w:numId w:val="6"/>
        </w:numPr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 xml:space="preserve">Expliquez la phrase soulignée (document 2). </w:t>
      </w:r>
    </w:p>
    <w:p w:rsidR="00041B13" w:rsidRPr="00041B13" w:rsidRDefault="00041B13" w:rsidP="00041B13">
      <w:pPr>
        <w:numPr>
          <w:ilvl w:val="0"/>
          <w:numId w:val="6"/>
        </w:numPr>
        <w:spacing w:after="0" w:line="240" w:lineRule="auto"/>
        <w:rPr>
          <w:rFonts w:eastAsiaTheme="minorHAnsi" w:cs="Arial"/>
          <w:lang w:eastAsia="en-US"/>
        </w:rPr>
      </w:pPr>
      <w:r w:rsidRPr="00041B13">
        <w:rPr>
          <w:rFonts w:eastAsiaTheme="minorHAnsi" w:cs="Arial"/>
          <w:lang w:eastAsia="en-US"/>
        </w:rPr>
        <w:t>Victor Hugo est devenu une des références majeures des républicains. Justifiez cette affirmation.</w:t>
      </w:r>
    </w:p>
    <w:p w:rsidR="00041B13" w:rsidRPr="00041B13" w:rsidRDefault="00041B13" w:rsidP="00041B13">
      <w:pPr>
        <w:spacing w:after="0" w:line="240" w:lineRule="auto"/>
        <w:ind w:left="0"/>
        <w:rPr>
          <w:rFonts w:eastAsiaTheme="minorHAnsi" w:cs="Arial"/>
          <w:szCs w:val="22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asciiTheme="minorHAnsi" w:eastAsiaTheme="minorHAnsi" w:hAnsiTheme="minorHAnsi" w:cstheme="minorBidi"/>
          <w:lang w:eastAsia="en-US"/>
        </w:rPr>
      </w:pPr>
    </w:p>
    <w:p w:rsidR="00041B13" w:rsidRPr="00041B13" w:rsidRDefault="00041B13" w:rsidP="00041B13">
      <w:pPr>
        <w:spacing w:after="0" w:line="240" w:lineRule="auto"/>
        <w:ind w:left="0"/>
        <w:rPr>
          <w:rFonts w:asciiTheme="minorHAnsi" w:eastAsiaTheme="minorHAnsi" w:hAnsiTheme="minorHAnsi" w:cstheme="minorBid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239" w:rsidRDefault="00BE5239" w:rsidP="0053612B">
      <w:pPr>
        <w:spacing w:after="0" w:line="240" w:lineRule="auto"/>
      </w:pPr>
      <w:r>
        <w:separator/>
      </w:r>
    </w:p>
  </w:endnote>
  <w:endnote w:type="continuationSeparator" w:id="0">
    <w:p w:rsidR="00BE5239" w:rsidRDefault="00BE5239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F2790" w:rsidRPr="002F2790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F2790" w:rsidRPr="002F2790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F2790" w:rsidRPr="002F2790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F2790" w:rsidRPr="002F2790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239" w:rsidRDefault="00BE5239" w:rsidP="0053612B">
      <w:pPr>
        <w:spacing w:after="0" w:line="240" w:lineRule="auto"/>
      </w:pPr>
      <w:r>
        <w:separator/>
      </w:r>
    </w:p>
  </w:footnote>
  <w:footnote w:type="continuationSeparator" w:id="0">
    <w:p w:rsidR="00BE5239" w:rsidRDefault="00BE5239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C15E40"/>
    <w:multiLevelType w:val="hybridMultilevel"/>
    <w:tmpl w:val="F112F408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F5ADE"/>
    <w:multiLevelType w:val="hybridMultilevel"/>
    <w:tmpl w:val="63AAC8B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2C0"/>
    <w:rsid w:val="000134A9"/>
    <w:rsid w:val="00041B13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2F2790"/>
    <w:rsid w:val="003154F6"/>
    <w:rsid w:val="003408B3"/>
    <w:rsid w:val="003532C0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13045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BE5239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D1A10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1398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2023-01-25T14:12:00Z</dcterms:created>
  <dcterms:modified xsi:type="dcterms:W3CDTF">2023-01-25T20:50:00Z</dcterms:modified>
</cp:coreProperties>
</file>