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roofErr w:type="spellStart"/>
            <w:r w:rsidR="00DA0BD0">
              <w:rPr>
                <w:rFonts w:eastAsia="Times New Roman"/>
                <w:color w:val="000000" w:themeColor="text1"/>
                <w:sz w:val="20"/>
                <w:szCs w:val="22"/>
              </w:rPr>
              <w:t>periurbain</w:t>
            </w:r>
            <w:proofErr w:type="spellEnd"/>
            <w:r w:rsidR="00DA0BD0">
              <w:rPr>
                <w:rFonts w:eastAsia="Times New Roman"/>
                <w:color w:val="000000" w:themeColor="text1"/>
                <w:sz w:val="20"/>
                <w:szCs w:val="22"/>
              </w:rPr>
              <w:t>, agrotourisme</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E666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DA0BD0">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E666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DA0BD0">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E666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EC54C4">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C54C4">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DA0BD0" w:rsidRPr="00DA0BD0" w:rsidRDefault="00DA0BD0" w:rsidP="00DA0BD0">
      <w:pPr>
        <w:spacing w:after="0" w:line="240" w:lineRule="auto"/>
        <w:ind w:left="0"/>
        <w:rPr>
          <w:rFonts w:cs="Arial"/>
          <w:b/>
          <w:bCs/>
          <w:lang w:eastAsia="en-US"/>
        </w:rPr>
      </w:pPr>
      <w:r w:rsidRPr="00DA0BD0">
        <w:rPr>
          <w:rFonts w:cs="Arial"/>
          <w:b/>
          <w:bCs/>
          <w:lang w:eastAsia="en-US"/>
        </w:rPr>
        <w:lastRenderedPageBreak/>
        <w:t>Première partie : questions (sur 10 points)</w:t>
      </w:r>
    </w:p>
    <w:p w:rsidR="00DA0BD0" w:rsidRPr="00DA0BD0" w:rsidRDefault="00DA0BD0" w:rsidP="00DA0BD0">
      <w:pPr>
        <w:spacing w:after="0" w:line="240" w:lineRule="auto"/>
        <w:ind w:left="0"/>
        <w:rPr>
          <w:rFonts w:cs="Arial"/>
          <w:lang w:eastAsia="en-US"/>
        </w:rPr>
      </w:pPr>
    </w:p>
    <w:p w:rsidR="00DA0BD0" w:rsidRPr="00DA0BD0" w:rsidRDefault="00DA0BD0" w:rsidP="00DA0BD0">
      <w:pPr>
        <w:numPr>
          <w:ilvl w:val="0"/>
          <w:numId w:val="2"/>
        </w:numPr>
        <w:spacing w:after="0" w:line="240" w:lineRule="auto"/>
        <w:contextualSpacing/>
        <w:rPr>
          <w:rFonts w:ascii="Calibri" w:hAnsi="Calibri"/>
          <w:color w:val="000000"/>
          <w:lang w:eastAsia="en-US"/>
        </w:rPr>
      </w:pPr>
      <w:r w:rsidRPr="00DA0BD0">
        <w:rPr>
          <w:rFonts w:cs="Arial"/>
          <w:color w:val="000000"/>
          <w:lang w:eastAsia="en-US"/>
        </w:rPr>
        <w:t>Citez deux droits affirmés dans la Déclaration des droits de l’Homme et du Citoyen.</w:t>
      </w:r>
    </w:p>
    <w:p w:rsidR="00DA0BD0" w:rsidRPr="00DA0BD0" w:rsidRDefault="00DA0BD0" w:rsidP="00DA0BD0">
      <w:pPr>
        <w:spacing w:after="0" w:line="240" w:lineRule="auto"/>
        <w:ind w:left="0"/>
        <w:rPr>
          <w:rFonts w:ascii="Calibri" w:hAnsi="Calibri"/>
          <w:color w:val="000000"/>
          <w:lang w:eastAsia="en-US"/>
        </w:rPr>
      </w:pPr>
    </w:p>
    <w:p w:rsidR="00DA0BD0" w:rsidRPr="00DA0BD0" w:rsidRDefault="00DA0BD0" w:rsidP="00DA0BD0">
      <w:pPr>
        <w:numPr>
          <w:ilvl w:val="0"/>
          <w:numId w:val="2"/>
        </w:numPr>
        <w:spacing w:after="0" w:line="240" w:lineRule="auto"/>
        <w:contextualSpacing/>
        <w:rPr>
          <w:rFonts w:cs="Arial"/>
          <w:color w:val="000000"/>
          <w:lang w:eastAsia="en-US"/>
        </w:rPr>
      </w:pPr>
      <w:r w:rsidRPr="00DA0BD0">
        <w:rPr>
          <w:rFonts w:cs="Arial"/>
          <w:color w:val="000000"/>
          <w:lang w:eastAsia="en-US"/>
        </w:rPr>
        <w:t>Choisissez et recopiez sur votre copie parmi les trois propositions suivantes la définition la plus pertinente de la notion de « souveraineté nationale ».</w:t>
      </w:r>
    </w:p>
    <w:p w:rsidR="00DA0BD0" w:rsidRPr="00DA0BD0" w:rsidRDefault="00DA0BD0" w:rsidP="00DA0BD0">
      <w:pPr>
        <w:spacing w:after="0" w:line="240" w:lineRule="auto"/>
        <w:ind w:left="0"/>
        <w:rPr>
          <w:rFonts w:cs="Arial"/>
          <w:lang w:eastAsia="en-US"/>
        </w:rPr>
      </w:pPr>
      <w:r w:rsidRPr="00DA0BD0">
        <w:rPr>
          <w:rFonts w:cs="Arial"/>
          <w:color w:val="000000"/>
          <w:lang w:eastAsia="en-US"/>
        </w:rPr>
        <w:tab/>
        <w:t xml:space="preserve">a) Principe selon lequel </w:t>
      </w:r>
      <w:r w:rsidRPr="00DA0BD0">
        <w:rPr>
          <w:rFonts w:cs="Arial"/>
          <w:lang w:eastAsia="en-US"/>
        </w:rPr>
        <w:t>le pouvoir suprême est détenu par le roi.</w:t>
      </w:r>
    </w:p>
    <w:p w:rsidR="00DA0BD0" w:rsidRPr="00DA0BD0" w:rsidRDefault="00DA0BD0" w:rsidP="00DA0BD0">
      <w:pPr>
        <w:spacing w:after="0" w:line="240" w:lineRule="auto"/>
        <w:ind w:left="0"/>
        <w:rPr>
          <w:rFonts w:cs="Arial"/>
          <w:lang w:eastAsia="en-US"/>
        </w:rPr>
      </w:pPr>
      <w:r w:rsidRPr="00DA0BD0">
        <w:rPr>
          <w:rFonts w:cs="Arial"/>
          <w:lang w:eastAsia="en-US"/>
        </w:rPr>
        <w:tab/>
        <w:t>b) Principe selon lequel le pouvoir suprême est détenu par la Garde nationale.</w:t>
      </w:r>
    </w:p>
    <w:p w:rsidR="00DA0BD0" w:rsidRPr="00DA0BD0" w:rsidRDefault="00DA0BD0" w:rsidP="00DA0BD0">
      <w:pPr>
        <w:spacing w:after="0" w:line="240" w:lineRule="auto"/>
        <w:ind w:left="709"/>
        <w:rPr>
          <w:rFonts w:cs="Arial"/>
          <w:lang w:eastAsia="en-US"/>
        </w:rPr>
      </w:pPr>
      <w:r w:rsidRPr="00DA0BD0">
        <w:rPr>
          <w:rFonts w:cs="Arial"/>
          <w:lang w:eastAsia="en-US"/>
        </w:rPr>
        <w:t>c) Principe selon lequel le pouvoir suprême est détenu par les citoyens constituant la</w:t>
      </w:r>
      <w:r w:rsidRPr="00DA0BD0">
        <w:rPr>
          <w:rFonts w:cs="Arial"/>
          <w:lang w:eastAsia="en-US"/>
        </w:rPr>
        <w:tab/>
        <w:t xml:space="preserve"> nation.</w:t>
      </w:r>
    </w:p>
    <w:p w:rsidR="00DA0BD0" w:rsidRPr="00DA0BD0" w:rsidRDefault="00DA0BD0" w:rsidP="00DA0BD0">
      <w:pPr>
        <w:spacing w:after="0" w:line="240" w:lineRule="auto"/>
        <w:ind w:left="709"/>
        <w:rPr>
          <w:rFonts w:cs="Arial"/>
          <w:lang w:eastAsia="en-US"/>
        </w:rPr>
      </w:pPr>
    </w:p>
    <w:p w:rsidR="00DA0BD0" w:rsidRPr="00DA0BD0" w:rsidRDefault="00DA0BD0" w:rsidP="00DA0BD0">
      <w:pPr>
        <w:numPr>
          <w:ilvl w:val="0"/>
          <w:numId w:val="2"/>
        </w:numPr>
        <w:spacing w:after="0" w:line="240" w:lineRule="auto"/>
        <w:contextualSpacing/>
        <w:rPr>
          <w:rFonts w:cs="Arial"/>
          <w:lang w:eastAsia="en-US"/>
        </w:rPr>
      </w:pPr>
      <w:r w:rsidRPr="00DA0BD0">
        <w:rPr>
          <w:rFonts w:cs="Arial"/>
          <w:lang w:eastAsia="en-US"/>
        </w:rPr>
        <w:t>Expliquez cette phrase de Robespierre issue d’un discours du 5 février 1794 : « </w:t>
      </w:r>
      <w:r w:rsidRPr="00DA0BD0">
        <w:rPr>
          <w:rFonts w:cs="Arial"/>
          <w:i/>
          <w:iCs/>
          <w:lang w:eastAsia="en-US"/>
        </w:rPr>
        <w:t>Il faut étouffer les ennemis intérieurs et extérieurs de la Révolution, ou périr avec elle ».</w:t>
      </w:r>
    </w:p>
    <w:p w:rsidR="00DA0BD0" w:rsidRPr="00DA0BD0" w:rsidRDefault="00DA0BD0" w:rsidP="00DA0BD0">
      <w:pPr>
        <w:spacing w:after="0" w:line="240" w:lineRule="auto"/>
        <w:ind w:left="0"/>
        <w:rPr>
          <w:rFonts w:cs="Arial"/>
          <w:lang w:eastAsia="en-US"/>
        </w:rPr>
      </w:pPr>
    </w:p>
    <w:p w:rsidR="00DA0BD0" w:rsidRPr="00DA0BD0" w:rsidRDefault="00DA0BD0" w:rsidP="00DA0BD0">
      <w:pPr>
        <w:numPr>
          <w:ilvl w:val="0"/>
          <w:numId w:val="2"/>
        </w:numPr>
        <w:tabs>
          <w:tab w:val="left" w:pos="7335"/>
        </w:tabs>
        <w:spacing w:after="0" w:line="240" w:lineRule="auto"/>
        <w:contextualSpacing/>
        <w:rPr>
          <w:rFonts w:cs="Arial"/>
          <w:bCs/>
          <w:lang w:eastAsia="en-US"/>
        </w:rPr>
      </w:pPr>
      <w:r w:rsidRPr="00DA0BD0">
        <w:rPr>
          <w:rFonts w:cs="Arial"/>
          <w:lang w:eastAsia="en-US"/>
        </w:rPr>
        <w:t>Pour chacune des propositions suivantes répondez par vrai ou faux : (répondez sur votre copie)</w:t>
      </w:r>
    </w:p>
    <w:p w:rsidR="00DA0BD0" w:rsidRPr="00DA0BD0" w:rsidRDefault="00DA0BD0" w:rsidP="00DA0BD0">
      <w:pPr>
        <w:spacing w:after="0" w:line="240" w:lineRule="auto"/>
        <w:ind w:left="0"/>
        <w:rPr>
          <w:rFonts w:cs="Arial"/>
          <w:lang w:eastAsia="en-US"/>
        </w:rPr>
      </w:pPr>
    </w:p>
    <w:tbl>
      <w:tblPr>
        <w:tblStyle w:val="Grilledutableau1"/>
        <w:tblW w:w="0" w:type="auto"/>
        <w:tblInd w:w="562" w:type="dxa"/>
        <w:tblLook w:val="04A0" w:firstRow="1" w:lastRow="0" w:firstColumn="1" w:lastColumn="0" w:noHBand="0" w:noVBand="1"/>
      </w:tblPr>
      <w:tblGrid>
        <w:gridCol w:w="4678"/>
        <w:gridCol w:w="1985"/>
        <w:gridCol w:w="1831"/>
      </w:tblGrid>
      <w:tr w:rsidR="00DA0BD0" w:rsidRPr="00DA0BD0" w:rsidTr="00EA2C82">
        <w:tc>
          <w:tcPr>
            <w:tcW w:w="4678" w:type="dxa"/>
          </w:tcPr>
          <w:p w:rsidR="00DA0BD0" w:rsidRPr="00DA0BD0" w:rsidRDefault="00DA0BD0" w:rsidP="00DA0BD0">
            <w:pPr>
              <w:spacing w:after="0" w:line="240" w:lineRule="auto"/>
              <w:ind w:left="0"/>
              <w:contextualSpacing/>
              <w:rPr>
                <w:rFonts w:cs="Arial"/>
              </w:rPr>
            </w:pPr>
            <w:r w:rsidRPr="00DA0BD0">
              <w:rPr>
                <w:rFonts w:cs="Arial"/>
              </w:rPr>
              <w:t>Aujourd’hui 50% de la population mondiale vit en ville</w:t>
            </w:r>
          </w:p>
        </w:tc>
        <w:tc>
          <w:tcPr>
            <w:tcW w:w="1985" w:type="dxa"/>
          </w:tcPr>
          <w:p w:rsidR="00DA0BD0" w:rsidRPr="00DA0BD0" w:rsidRDefault="00DA0BD0" w:rsidP="00DA0BD0">
            <w:pPr>
              <w:spacing w:after="0" w:line="240" w:lineRule="auto"/>
              <w:ind w:left="0"/>
              <w:contextualSpacing/>
              <w:jc w:val="center"/>
              <w:rPr>
                <w:rFonts w:cs="Arial"/>
              </w:rPr>
            </w:pPr>
            <w:r w:rsidRPr="00DA0BD0">
              <w:rPr>
                <w:rFonts w:cs="Arial"/>
              </w:rPr>
              <w:t>V</w:t>
            </w:r>
          </w:p>
        </w:tc>
        <w:tc>
          <w:tcPr>
            <w:tcW w:w="1831" w:type="dxa"/>
          </w:tcPr>
          <w:p w:rsidR="00DA0BD0" w:rsidRPr="00DA0BD0" w:rsidRDefault="00DA0BD0" w:rsidP="00DA0BD0">
            <w:pPr>
              <w:spacing w:after="0" w:line="240" w:lineRule="auto"/>
              <w:ind w:left="0"/>
              <w:contextualSpacing/>
              <w:jc w:val="center"/>
              <w:rPr>
                <w:rFonts w:cs="Arial"/>
              </w:rPr>
            </w:pPr>
            <w:r w:rsidRPr="00DA0BD0">
              <w:rPr>
                <w:rFonts w:cs="Arial"/>
              </w:rPr>
              <w:t>F</w:t>
            </w:r>
          </w:p>
        </w:tc>
      </w:tr>
      <w:tr w:rsidR="00DA0BD0" w:rsidRPr="00DA0BD0" w:rsidTr="00EA2C82">
        <w:tc>
          <w:tcPr>
            <w:tcW w:w="4678" w:type="dxa"/>
          </w:tcPr>
          <w:p w:rsidR="00DA0BD0" w:rsidRPr="00DA0BD0" w:rsidRDefault="00DA0BD0" w:rsidP="00DA0BD0">
            <w:pPr>
              <w:spacing w:after="0" w:line="240" w:lineRule="auto"/>
              <w:ind w:left="0"/>
              <w:contextualSpacing/>
              <w:rPr>
                <w:rFonts w:cs="Arial"/>
              </w:rPr>
            </w:pPr>
            <w:r w:rsidRPr="00DA0BD0">
              <w:rPr>
                <w:rFonts w:cs="Arial"/>
              </w:rPr>
              <w:t>La part de la population urbaine dans le monde ne cesse de progresser</w:t>
            </w:r>
          </w:p>
        </w:tc>
        <w:tc>
          <w:tcPr>
            <w:tcW w:w="1985" w:type="dxa"/>
          </w:tcPr>
          <w:p w:rsidR="00DA0BD0" w:rsidRPr="00DA0BD0" w:rsidRDefault="00DA0BD0" w:rsidP="00DA0BD0">
            <w:pPr>
              <w:spacing w:after="0" w:line="240" w:lineRule="auto"/>
              <w:ind w:left="0"/>
              <w:contextualSpacing/>
              <w:jc w:val="center"/>
              <w:rPr>
                <w:rFonts w:cs="Arial"/>
              </w:rPr>
            </w:pPr>
            <w:r w:rsidRPr="00DA0BD0">
              <w:rPr>
                <w:rFonts w:cs="Arial"/>
              </w:rPr>
              <w:t>V</w:t>
            </w:r>
          </w:p>
        </w:tc>
        <w:tc>
          <w:tcPr>
            <w:tcW w:w="1831" w:type="dxa"/>
          </w:tcPr>
          <w:p w:rsidR="00DA0BD0" w:rsidRPr="00DA0BD0" w:rsidRDefault="00DA0BD0" w:rsidP="00DA0BD0">
            <w:pPr>
              <w:spacing w:after="0" w:line="240" w:lineRule="auto"/>
              <w:ind w:left="0"/>
              <w:contextualSpacing/>
              <w:jc w:val="center"/>
              <w:rPr>
                <w:rFonts w:cs="Arial"/>
              </w:rPr>
            </w:pPr>
            <w:r w:rsidRPr="00DA0BD0">
              <w:rPr>
                <w:rFonts w:cs="Arial"/>
              </w:rPr>
              <w:t>F</w:t>
            </w:r>
          </w:p>
        </w:tc>
      </w:tr>
      <w:tr w:rsidR="00DA0BD0" w:rsidRPr="00DA0BD0" w:rsidTr="00EA2C82">
        <w:tc>
          <w:tcPr>
            <w:tcW w:w="4678" w:type="dxa"/>
          </w:tcPr>
          <w:p w:rsidR="00DA0BD0" w:rsidRPr="00DA0BD0" w:rsidRDefault="00DA0BD0" w:rsidP="00DA0BD0">
            <w:pPr>
              <w:spacing w:after="0" w:line="240" w:lineRule="auto"/>
              <w:ind w:left="0"/>
              <w:contextualSpacing/>
              <w:rPr>
                <w:rFonts w:cs="Arial"/>
              </w:rPr>
            </w:pPr>
            <w:r w:rsidRPr="00DA0BD0">
              <w:rPr>
                <w:rFonts w:cs="Arial"/>
              </w:rPr>
              <w:t>Une métropole compte au moins dix millions d’habitants</w:t>
            </w:r>
          </w:p>
        </w:tc>
        <w:tc>
          <w:tcPr>
            <w:tcW w:w="1985" w:type="dxa"/>
          </w:tcPr>
          <w:p w:rsidR="00DA0BD0" w:rsidRPr="00DA0BD0" w:rsidRDefault="00DA0BD0" w:rsidP="00DA0BD0">
            <w:pPr>
              <w:spacing w:after="0" w:line="240" w:lineRule="auto"/>
              <w:ind w:left="0"/>
              <w:contextualSpacing/>
              <w:jc w:val="center"/>
              <w:rPr>
                <w:rFonts w:cs="Arial"/>
              </w:rPr>
            </w:pPr>
            <w:r w:rsidRPr="00DA0BD0">
              <w:rPr>
                <w:rFonts w:cs="Arial"/>
              </w:rPr>
              <w:t>V</w:t>
            </w:r>
          </w:p>
        </w:tc>
        <w:tc>
          <w:tcPr>
            <w:tcW w:w="1831" w:type="dxa"/>
          </w:tcPr>
          <w:p w:rsidR="00DA0BD0" w:rsidRPr="00DA0BD0" w:rsidRDefault="00DA0BD0" w:rsidP="00DA0BD0">
            <w:pPr>
              <w:spacing w:after="0" w:line="240" w:lineRule="auto"/>
              <w:ind w:left="0"/>
              <w:contextualSpacing/>
              <w:jc w:val="center"/>
              <w:rPr>
                <w:rFonts w:cs="Arial"/>
              </w:rPr>
            </w:pPr>
            <w:r w:rsidRPr="00DA0BD0">
              <w:rPr>
                <w:rFonts w:cs="Arial"/>
              </w:rPr>
              <w:t>F</w:t>
            </w:r>
          </w:p>
        </w:tc>
      </w:tr>
    </w:tbl>
    <w:p w:rsidR="00DA0BD0" w:rsidRPr="00DA0BD0" w:rsidRDefault="00DA0BD0" w:rsidP="00DA0BD0">
      <w:pPr>
        <w:spacing w:after="0" w:line="240" w:lineRule="auto"/>
        <w:ind w:left="720"/>
        <w:contextualSpacing/>
        <w:rPr>
          <w:rFonts w:cs="Arial"/>
          <w:lang w:eastAsia="en-US"/>
        </w:rPr>
      </w:pPr>
    </w:p>
    <w:p w:rsidR="00DA0BD0" w:rsidRPr="00DA0BD0" w:rsidRDefault="00DA0BD0" w:rsidP="00DA0BD0">
      <w:pPr>
        <w:spacing w:after="0" w:line="240" w:lineRule="auto"/>
        <w:ind w:left="0"/>
        <w:rPr>
          <w:rFonts w:cs="Arial"/>
          <w:lang w:eastAsia="en-US"/>
        </w:rPr>
      </w:pPr>
      <w:r w:rsidRPr="00DA0BD0">
        <w:rPr>
          <w:rFonts w:cs="Arial"/>
          <w:lang w:eastAsia="en-US"/>
        </w:rPr>
        <w:t xml:space="preserve">   </w:t>
      </w:r>
      <w:r w:rsidRPr="00DA0BD0">
        <w:rPr>
          <w:rFonts w:cs="Arial"/>
          <w:lang w:eastAsia="en-US"/>
        </w:rPr>
        <w:tab/>
        <w:t xml:space="preserve">    </w:t>
      </w:r>
    </w:p>
    <w:p w:rsidR="00DA0BD0" w:rsidRPr="00DA0BD0" w:rsidRDefault="00DA0BD0" w:rsidP="00DA0BD0">
      <w:pPr>
        <w:numPr>
          <w:ilvl w:val="0"/>
          <w:numId w:val="2"/>
        </w:numPr>
        <w:spacing w:after="0" w:line="240" w:lineRule="auto"/>
        <w:contextualSpacing/>
        <w:rPr>
          <w:rFonts w:cs="Arial"/>
          <w:bCs/>
          <w:lang w:eastAsia="en-US"/>
        </w:rPr>
      </w:pPr>
      <w:r w:rsidRPr="00DA0BD0">
        <w:rPr>
          <w:rFonts w:cs="Arial"/>
          <w:bCs/>
          <w:lang w:eastAsia="en-US"/>
        </w:rPr>
        <w:t xml:space="preserve">Sur le fond de carte </w:t>
      </w:r>
      <w:r w:rsidRPr="00DA0BD0">
        <w:rPr>
          <w:rFonts w:cs="Arial"/>
          <w:bCs/>
          <w:u w:val="single"/>
          <w:lang w:eastAsia="en-US"/>
        </w:rPr>
        <w:t>localisez</w:t>
      </w:r>
      <w:r w:rsidRPr="00DA0BD0">
        <w:rPr>
          <w:rFonts w:cs="Arial"/>
          <w:bCs/>
          <w:lang w:eastAsia="en-US"/>
        </w:rPr>
        <w:t xml:space="preserve"> et </w:t>
      </w:r>
      <w:r w:rsidRPr="00DA0BD0">
        <w:rPr>
          <w:rFonts w:cs="Arial"/>
          <w:bCs/>
          <w:u w:val="single"/>
          <w:lang w:eastAsia="en-US"/>
        </w:rPr>
        <w:t>nommez</w:t>
      </w:r>
      <w:r w:rsidRPr="00DA0BD0">
        <w:rPr>
          <w:rFonts w:cs="Arial"/>
          <w:bCs/>
          <w:lang w:eastAsia="en-US"/>
        </w:rPr>
        <w:t xml:space="preserve"> une mégalopole et trois métropoles de rang mondial (n’appartenant pas à la mégalopole). </w:t>
      </w:r>
      <w:proofErr w:type="gramStart"/>
      <w:r w:rsidRPr="00DA0BD0">
        <w:rPr>
          <w:rFonts w:cs="Arial"/>
          <w:bCs/>
          <w:lang w:eastAsia="en-US"/>
        </w:rPr>
        <w:t>Complétez les</w:t>
      </w:r>
      <w:proofErr w:type="gramEnd"/>
      <w:r w:rsidRPr="00DA0BD0">
        <w:rPr>
          <w:rFonts w:cs="Arial"/>
          <w:bCs/>
          <w:lang w:eastAsia="en-US"/>
        </w:rPr>
        <w:t xml:space="preserve"> figurés dans la légende.</w:t>
      </w:r>
    </w:p>
    <w:p w:rsidR="00DA0BD0" w:rsidRPr="00DA0BD0" w:rsidRDefault="00DA0BD0" w:rsidP="00DA0BD0">
      <w:pPr>
        <w:tabs>
          <w:tab w:val="left" w:pos="7335"/>
        </w:tabs>
        <w:spacing w:after="0" w:line="240" w:lineRule="auto"/>
        <w:ind w:left="0"/>
        <w:rPr>
          <w:rFonts w:cs="Arial"/>
          <w:bCs/>
          <w:lang w:eastAsia="en-US"/>
        </w:rPr>
      </w:pPr>
    </w:p>
    <w:tbl>
      <w:tblPr>
        <w:tblStyle w:val="Grilledutableau1"/>
        <w:tblW w:w="9498" w:type="dxa"/>
        <w:tblInd w:w="-147" w:type="dxa"/>
        <w:tblLook w:val="04A0" w:firstRow="1" w:lastRow="0" w:firstColumn="1" w:lastColumn="0" w:noHBand="0" w:noVBand="1"/>
      </w:tblPr>
      <w:tblGrid>
        <w:gridCol w:w="9498"/>
      </w:tblGrid>
      <w:tr w:rsidR="00DA0BD0" w:rsidRPr="00DA0BD0" w:rsidTr="00EA2C82">
        <w:tc>
          <w:tcPr>
            <w:tcW w:w="9498" w:type="dxa"/>
          </w:tcPr>
          <w:p w:rsidR="00DA0BD0" w:rsidRPr="00DA0BD0" w:rsidRDefault="00DA0BD0" w:rsidP="00DA0BD0">
            <w:pPr>
              <w:tabs>
                <w:tab w:val="left" w:pos="7335"/>
              </w:tabs>
              <w:spacing w:after="0" w:line="240" w:lineRule="auto"/>
              <w:ind w:left="-255" w:right="-402"/>
              <w:jc w:val="center"/>
              <w:rPr>
                <w:rFonts w:cs="Arial"/>
                <w:bCs/>
              </w:rPr>
            </w:pPr>
            <w:r w:rsidRPr="00DA0BD0">
              <w:rPr>
                <w:rFonts w:cs="Arial"/>
                <w:bCs/>
                <w:noProof/>
              </w:rPr>
              <w:lastRenderedPageBreak/>
              <w:drawing>
                <wp:inline distT="0" distB="0" distL="0" distR="0" wp14:anchorId="23684ED1" wp14:editId="73A47CAB">
                  <wp:extent cx="5922244" cy="3960575"/>
                  <wp:effectExtent l="0" t="0" r="254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5950245" cy="3979301"/>
                          </a:xfrm>
                          <a:prstGeom prst="rect">
                            <a:avLst/>
                          </a:prstGeom>
                        </pic:spPr>
                      </pic:pic>
                    </a:graphicData>
                  </a:graphic>
                </wp:inline>
              </w:drawing>
            </w:r>
          </w:p>
        </w:tc>
      </w:tr>
      <w:tr w:rsidR="00DA0BD0" w:rsidRPr="00DA0BD0" w:rsidTr="00EA2C82">
        <w:tc>
          <w:tcPr>
            <w:tcW w:w="9498" w:type="dxa"/>
          </w:tcPr>
          <w:p w:rsidR="00DA0BD0" w:rsidRPr="00DA0BD0" w:rsidRDefault="00DA0BD0" w:rsidP="00DA0BD0">
            <w:pPr>
              <w:tabs>
                <w:tab w:val="left" w:pos="7335"/>
              </w:tabs>
              <w:spacing w:after="0" w:line="240" w:lineRule="auto"/>
              <w:ind w:left="0"/>
              <w:rPr>
                <w:rFonts w:cs="Arial"/>
                <w:bCs/>
              </w:rPr>
            </w:pPr>
          </w:p>
          <w:p w:rsidR="00DA0BD0" w:rsidRPr="00DA0BD0" w:rsidRDefault="00DA0BD0" w:rsidP="00DA0BD0">
            <w:pPr>
              <w:tabs>
                <w:tab w:val="left" w:pos="7335"/>
              </w:tabs>
              <w:spacing w:after="0" w:line="240" w:lineRule="auto"/>
              <w:ind w:left="0"/>
              <w:rPr>
                <w:rFonts w:cs="Arial"/>
                <w:bCs/>
              </w:rPr>
            </w:pPr>
            <w:r w:rsidRPr="00DA0BD0">
              <w:rPr>
                <w:rFonts w:cs="Arial"/>
                <w:bCs/>
              </w:rPr>
              <w:t xml:space="preserve">         Mégalopole</w:t>
            </w:r>
          </w:p>
          <w:p w:rsidR="00DA0BD0" w:rsidRPr="00DA0BD0" w:rsidRDefault="00DA0BD0" w:rsidP="00DA0BD0">
            <w:pPr>
              <w:tabs>
                <w:tab w:val="left" w:pos="7335"/>
              </w:tabs>
              <w:spacing w:after="0" w:line="240" w:lineRule="auto"/>
              <w:ind w:left="0"/>
              <w:rPr>
                <w:rFonts w:cs="Arial"/>
                <w:bCs/>
              </w:rPr>
            </w:pPr>
          </w:p>
          <w:p w:rsidR="00DA0BD0" w:rsidRPr="00DA0BD0" w:rsidRDefault="00DA0BD0" w:rsidP="00DA0BD0">
            <w:pPr>
              <w:tabs>
                <w:tab w:val="left" w:pos="7335"/>
              </w:tabs>
              <w:spacing w:after="0" w:line="240" w:lineRule="auto"/>
              <w:ind w:left="0"/>
              <w:rPr>
                <w:rFonts w:cs="Arial"/>
                <w:bCs/>
              </w:rPr>
            </w:pPr>
            <w:r w:rsidRPr="00DA0BD0">
              <w:rPr>
                <w:rFonts w:cs="Arial"/>
                <w:bCs/>
              </w:rPr>
              <w:t xml:space="preserve">         Métropole de rang mondial</w:t>
            </w:r>
          </w:p>
          <w:p w:rsidR="00DA0BD0" w:rsidRPr="00DA0BD0" w:rsidRDefault="00DA0BD0" w:rsidP="00DA0BD0">
            <w:pPr>
              <w:tabs>
                <w:tab w:val="left" w:pos="7335"/>
              </w:tabs>
              <w:spacing w:after="0" w:line="240" w:lineRule="auto"/>
              <w:ind w:left="0"/>
              <w:rPr>
                <w:rFonts w:cs="Arial"/>
                <w:bCs/>
              </w:rPr>
            </w:pPr>
          </w:p>
        </w:tc>
      </w:tr>
    </w:tbl>
    <w:p w:rsidR="00DA0BD0" w:rsidRPr="00DA0BD0" w:rsidRDefault="00DA0BD0" w:rsidP="00DA0BD0">
      <w:pPr>
        <w:tabs>
          <w:tab w:val="left" w:pos="7335"/>
        </w:tabs>
        <w:spacing w:after="0" w:line="240" w:lineRule="auto"/>
        <w:ind w:left="0"/>
        <w:rPr>
          <w:rFonts w:cs="Arial"/>
          <w:bCs/>
          <w:lang w:eastAsia="en-US"/>
        </w:rPr>
      </w:pPr>
    </w:p>
    <w:p w:rsidR="00DA0BD0" w:rsidRPr="00DA0BD0" w:rsidRDefault="00DA0BD0" w:rsidP="00DA0BD0">
      <w:pPr>
        <w:spacing w:after="0" w:line="240" w:lineRule="auto"/>
        <w:ind w:left="0"/>
        <w:rPr>
          <w:rFonts w:cs="Arial"/>
          <w:lang w:eastAsia="en-US"/>
        </w:rPr>
      </w:pPr>
    </w:p>
    <w:p w:rsidR="00DA0BD0" w:rsidRPr="00DA0BD0" w:rsidRDefault="00DA0BD0" w:rsidP="00DA0BD0">
      <w:pPr>
        <w:spacing w:after="0" w:line="240" w:lineRule="auto"/>
        <w:ind w:left="0"/>
        <w:rPr>
          <w:rFonts w:cs="Arial"/>
          <w:b/>
          <w:bCs/>
          <w:lang w:eastAsia="en-US"/>
        </w:rPr>
      </w:pPr>
      <w:r w:rsidRPr="00DA0BD0">
        <w:rPr>
          <w:rFonts w:cs="Arial"/>
          <w:b/>
          <w:bCs/>
          <w:lang w:eastAsia="en-US"/>
        </w:rPr>
        <w:br w:type="page"/>
      </w:r>
    </w:p>
    <w:p w:rsidR="00DA0BD0" w:rsidRPr="00DA0BD0" w:rsidRDefault="00DA0BD0" w:rsidP="00DA0BD0">
      <w:pPr>
        <w:spacing w:after="0" w:line="240" w:lineRule="auto"/>
        <w:ind w:left="0"/>
        <w:rPr>
          <w:rFonts w:cs="Arial"/>
          <w:b/>
          <w:bCs/>
          <w:lang w:eastAsia="en-US"/>
        </w:rPr>
      </w:pPr>
      <w:r w:rsidRPr="00DA0BD0">
        <w:rPr>
          <w:rFonts w:cs="Arial"/>
          <w:b/>
          <w:bCs/>
          <w:lang w:eastAsia="en-US"/>
        </w:rPr>
        <w:lastRenderedPageBreak/>
        <w:t>Deuxième partie : analyse de document(s) (sur 10 points)</w:t>
      </w:r>
    </w:p>
    <w:p w:rsidR="00DA0BD0" w:rsidRPr="00DA0BD0" w:rsidRDefault="00DA0BD0" w:rsidP="00DA0BD0">
      <w:pPr>
        <w:spacing w:after="0" w:line="240" w:lineRule="auto"/>
        <w:ind w:left="0"/>
        <w:rPr>
          <w:rFonts w:cs="Arial"/>
          <w:bCs/>
          <w:lang w:eastAsia="en-US"/>
        </w:rPr>
      </w:pPr>
    </w:p>
    <w:p w:rsidR="00DA0BD0" w:rsidRPr="00DA0BD0" w:rsidRDefault="00DA0BD0" w:rsidP="00DA0BD0">
      <w:pPr>
        <w:spacing w:after="0" w:line="240" w:lineRule="auto"/>
        <w:ind w:left="0"/>
        <w:rPr>
          <w:rFonts w:cs="Arial"/>
          <w:bCs/>
          <w:lang w:eastAsia="en-US"/>
        </w:rPr>
      </w:pPr>
      <w:r w:rsidRPr="00DA0BD0">
        <w:rPr>
          <w:rFonts w:cs="Arial"/>
          <w:bCs/>
          <w:lang w:eastAsia="en-US"/>
        </w:rPr>
        <w:t xml:space="preserve">Le candidat choisit l’un des deux sujets. </w:t>
      </w:r>
    </w:p>
    <w:p w:rsidR="00DA0BD0" w:rsidRPr="00DA0BD0" w:rsidRDefault="00DA0BD0" w:rsidP="00DA0BD0">
      <w:pPr>
        <w:spacing w:after="0" w:line="240" w:lineRule="auto"/>
        <w:ind w:left="0"/>
        <w:rPr>
          <w:rFonts w:cs="Arial"/>
          <w:bCs/>
          <w:lang w:eastAsia="en-US"/>
        </w:rPr>
      </w:pPr>
    </w:p>
    <w:p w:rsidR="00DA0BD0" w:rsidRPr="00DA0BD0" w:rsidRDefault="00DA0BD0" w:rsidP="00DA0BD0">
      <w:pPr>
        <w:spacing w:after="0" w:line="240" w:lineRule="auto"/>
        <w:ind w:left="0"/>
        <w:rPr>
          <w:rFonts w:cs="Arial"/>
          <w:bCs/>
          <w:lang w:eastAsia="en-US"/>
        </w:rPr>
      </w:pPr>
    </w:p>
    <w:p w:rsidR="00DA0BD0" w:rsidRPr="00DA0BD0" w:rsidRDefault="00DA0BD0" w:rsidP="00DA0BD0">
      <w:pPr>
        <w:spacing w:after="0" w:line="240" w:lineRule="auto"/>
        <w:ind w:left="0"/>
        <w:jc w:val="center"/>
        <w:rPr>
          <w:rFonts w:cs="Arial"/>
          <w:b/>
          <w:bCs/>
          <w:lang w:eastAsia="en-US"/>
        </w:rPr>
      </w:pPr>
      <w:r w:rsidRPr="00DA0BD0">
        <w:rPr>
          <w:rFonts w:cs="Arial"/>
          <w:b/>
          <w:bCs/>
          <w:lang w:eastAsia="en-US"/>
        </w:rPr>
        <w:t>Sujet d’étude : les espaces périurbains en France métropolitaine et ultramarine</w:t>
      </w:r>
    </w:p>
    <w:p w:rsidR="00DA0BD0" w:rsidRPr="00DA0BD0" w:rsidRDefault="00DA0BD0" w:rsidP="00DA0BD0">
      <w:pPr>
        <w:spacing w:after="0" w:line="240" w:lineRule="auto"/>
        <w:ind w:left="0"/>
        <w:rPr>
          <w:rFonts w:ascii="Calibri" w:hAnsi="Calibri"/>
          <w:lang w:eastAsia="en-US"/>
        </w:rPr>
      </w:pPr>
    </w:p>
    <w:p w:rsidR="00DA0BD0" w:rsidRPr="00DA0BD0" w:rsidRDefault="00DA0BD0" w:rsidP="00DA0BD0">
      <w:pPr>
        <w:spacing w:after="0" w:line="240" w:lineRule="auto"/>
        <w:ind w:left="0"/>
        <w:rPr>
          <w:rFonts w:cs="Arial"/>
          <w:bCs/>
          <w:lang w:eastAsia="en-US"/>
        </w:rPr>
      </w:pPr>
      <w:r w:rsidRPr="00DA0BD0">
        <w:rPr>
          <w:rFonts w:cs="Arial"/>
          <w:bCs/>
          <w:u w:val="single"/>
          <w:lang w:eastAsia="en-US"/>
        </w:rPr>
        <w:t xml:space="preserve">Document 1 : </w:t>
      </w:r>
      <w:r w:rsidRPr="00DA0BD0">
        <w:rPr>
          <w:rFonts w:cs="Arial"/>
          <w:bCs/>
          <w:lang w:eastAsia="en-US"/>
        </w:rPr>
        <w:t>Les espaces périurbains critiqués</w:t>
      </w:r>
    </w:p>
    <w:p w:rsidR="00DA0BD0" w:rsidRPr="00DA0BD0" w:rsidRDefault="00DA0BD0" w:rsidP="00DA0BD0">
      <w:pPr>
        <w:spacing w:after="0" w:line="240" w:lineRule="auto"/>
        <w:ind w:left="0"/>
        <w:rPr>
          <w:rFonts w:cs="Arial"/>
          <w:b/>
          <w:sz w:val="4"/>
          <w:lang w:eastAsia="en-US"/>
        </w:rPr>
      </w:pPr>
    </w:p>
    <w:p w:rsidR="00DA0BD0" w:rsidRPr="00DA0BD0" w:rsidRDefault="00DA0BD0" w:rsidP="00DA0BD0">
      <w:pPr>
        <w:spacing w:after="0" w:line="240" w:lineRule="auto"/>
        <w:ind w:left="0"/>
        <w:rPr>
          <w:rFonts w:cs="Arial"/>
          <w:lang w:eastAsia="en-US"/>
        </w:rPr>
      </w:pPr>
    </w:p>
    <w:p w:rsidR="00DA0BD0" w:rsidRPr="00DA0BD0" w:rsidRDefault="00DA0BD0" w:rsidP="00DA0BD0">
      <w:pPr>
        <w:spacing w:after="0" w:line="240" w:lineRule="auto"/>
        <w:ind w:left="0"/>
        <w:rPr>
          <w:rFonts w:cs="Arial"/>
          <w:lang w:eastAsia="en-US"/>
        </w:rPr>
      </w:pPr>
      <w:r w:rsidRPr="00DA0BD0">
        <w:rPr>
          <w:rFonts w:cs="Arial"/>
          <w:lang w:eastAsia="en-US"/>
        </w:rPr>
        <w:t xml:space="preserve">Y </w:t>
      </w:r>
      <w:proofErr w:type="spellStart"/>
      <w:r w:rsidRPr="00DA0BD0">
        <w:rPr>
          <w:rFonts w:cs="Arial"/>
          <w:lang w:eastAsia="en-US"/>
        </w:rPr>
        <w:t>a-t-il</w:t>
      </w:r>
      <w:proofErr w:type="spellEnd"/>
      <w:r w:rsidRPr="00DA0BD0">
        <w:rPr>
          <w:rFonts w:cs="Arial"/>
          <w:lang w:eastAsia="en-US"/>
        </w:rPr>
        <w:t xml:space="preserve"> des territoires en France qui suscitent autant de controverses que le périurbain ? Ces espaces marqués par la discontinuité du bâti, spatialement à l’écart des pôles urbains mais fonctionnellement très intégrés à ces derniers, présentent certes des habitats diversifiés et des activités multiples (supermarchés, zones d’activités de nature très variable, entrepôts, etc.), mais sont la cible de critiques récurrentes : « critiques socio-politiques (déficit en espaces publics, choix de l’</w:t>
      </w:r>
      <w:proofErr w:type="spellStart"/>
      <w:r w:rsidRPr="00DA0BD0">
        <w:rPr>
          <w:rFonts w:cs="Arial"/>
          <w:lang w:eastAsia="en-US"/>
        </w:rPr>
        <w:t>entre-soi</w:t>
      </w:r>
      <w:proofErr w:type="spellEnd"/>
      <w:r w:rsidRPr="00DA0BD0">
        <w:rPr>
          <w:rFonts w:cs="Arial"/>
          <w:lang w:eastAsia="en-US"/>
        </w:rPr>
        <w:t>), esthétiques (uniformité de la construction pavillonnaire), économiques (coût de la dépendance automobile pour les particuliers et de la desserte en réseaux pour la collectivité) ou encore environnementales (consommation d’espaces agricoles) ». Pourtant, […] ce sont dans les couronnes des grands pôles urbains et des pôles moyens que la croissance de la population est la plus forte !</w:t>
      </w:r>
    </w:p>
    <w:p w:rsidR="00DA0BD0" w:rsidRPr="00DA0BD0" w:rsidRDefault="00DA0BD0" w:rsidP="00DA0BD0">
      <w:pPr>
        <w:spacing w:after="0" w:line="240" w:lineRule="auto"/>
        <w:ind w:left="0"/>
        <w:rPr>
          <w:rFonts w:cs="Arial"/>
          <w:lang w:eastAsia="en-US"/>
        </w:rPr>
      </w:pPr>
      <w:r w:rsidRPr="00DA0BD0">
        <w:rPr>
          <w:rFonts w:cs="Arial"/>
          <w:lang w:eastAsia="en-US"/>
        </w:rPr>
        <w:t>L’urbaniste Eric Charmes décrit la périurbanisation comme un triple « émiettement de la ville ». L’émiettement politique se caractérise par des communes (villages, bourgs, petites villes) qui se mettent à fonctionner comme des clubs […] où l’on a affaire […] à des consommateurs d’espaces verts et de voisinage socialement homogène […]. L’émiettement paysager repose sur le maintien de champs ou de forêts aux limites des communes, au-delà de l’ultime couronne de pavillons. Il vise à séparer chaque commune de ses voisines. L’émiettement social, enfin, renvoie au tri opéré dans le périurbain, à la faveur des prix du foncier.</w:t>
      </w:r>
    </w:p>
    <w:p w:rsidR="00DA0BD0" w:rsidRPr="00DA0BD0" w:rsidRDefault="00DA0BD0" w:rsidP="00DA0BD0">
      <w:pPr>
        <w:spacing w:after="0" w:line="240" w:lineRule="auto"/>
        <w:ind w:left="0"/>
        <w:rPr>
          <w:rFonts w:cs="Arial"/>
          <w:u w:val="single"/>
          <w:lang w:eastAsia="en-US"/>
        </w:rPr>
      </w:pPr>
    </w:p>
    <w:p w:rsidR="00DA0BD0" w:rsidRPr="00DA0BD0" w:rsidRDefault="00DA0BD0" w:rsidP="00DA0BD0">
      <w:pPr>
        <w:spacing w:after="0" w:line="240" w:lineRule="auto"/>
        <w:ind w:left="0"/>
        <w:rPr>
          <w:rFonts w:cs="Arial"/>
          <w:lang w:eastAsia="en-US"/>
        </w:rPr>
      </w:pPr>
      <w:r w:rsidRPr="00DA0BD0">
        <w:rPr>
          <w:rFonts w:cs="Arial"/>
          <w:lang w:eastAsia="en-US"/>
        </w:rPr>
        <w:t xml:space="preserve">Source : Olivier Milhaud, géographe, « Périurbain : le débat est ouvert ! », </w:t>
      </w:r>
      <w:r w:rsidRPr="00DA0BD0">
        <w:rPr>
          <w:rFonts w:cs="Arial"/>
          <w:i/>
          <w:lang w:eastAsia="en-US"/>
        </w:rPr>
        <w:t>La Documentation photographique</w:t>
      </w:r>
      <w:r w:rsidRPr="00DA0BD0">
        <w:rPr>
          <w:rFonts w:cs="Arial"/>
          <w:lang w:eastAsia="en-US"/>
        </w:rPr>
        <w:t xml:space="preserve"> n°8116, </w:t>
      </w:r>
      <w:r w:rsidRPr="00DA0BD0">
        <w:rPr>
          <w:rFonts w:cs="Arial"/>
          <w:i/>
          <w:lang w:eastAsia="en-US"/>
        </w:rPr>
        <w:t>La France des marges</w:t>
      </w:r>
      <w:r w:rsidRPr="00DA0BD0">
        <w:rPr>
          <w:rFonts w:cs="Arial"/>
          <w:lang w:eastAsia="en-US"/>
        </w:rPr>
        <w:t>, mars-avril 2017, p. 32.</w:t>
      </w:r>
    </w:p>
    <w:p w:rsidR="00DA0BD0" w:rsidRPr="00DA0BD0" w:rsidRDefault="00DA0BD0" w:rsidP="00DA0BD0">
      <w:pPr>
        <w:spacing w:after="0" w:line="240" w:lineRule="auto"/>
        <w:ind w:left="0"/>
        <w:rPr>
          <w:rFonts w:cs="Arial"/>
          <w:b/>
          <w:u w:val="single"/>
          <w:lang w:eastAsia="en-US"/>
        </w:rPr>
      </w:pPr>
    </w:p>
    <w:p w:rsidR="00DA0BD0" w:rsidRPr="00DA0BD0" w:rsidRDefault="00DA0BD0" w:rsidP="00DA0BD0">
      <w:pPr>
        <w:spacing w:after="0" w:line="240" w:lineRule="auto"/>
        <w:ind w:left="0"/>
        <w:rPr>
          <w:rFonts w:cs="Arial"/>
          <w:bCs/>
          <w:u w:val="single"/>
          <w:lang w:eastAsia="en-US"/>
        </w:rPr>
      </w:pPr>
      <w:r w:rsidRPr="00DA0BD0">
        <w:rPr>
          <w:rFonts w:cs="Arial"/>
          <w:bCs/>
          <w:u w:val="single"/>
          <w:lang w:eastAsia="en-US"/>
        </w:rPr>
        <w:br w:type="page"/>
      </w:r>
    </w:p>
    <w:p w:rsidR="00DA0BD0" w:rsidRPr="00DA0BD0" w:rsidRDefault="00DA0BD0" w:rsidP="00DA0BD0">
      <w:pPr>
        <w:spacing w:after="0" w:line="240" w:lineRule="auto"/>
        <w:ind w:left="0"/>
        <w:rPr>
          <w:rFonts w:cs="Arial"/>
          <w:bCs/>
          <w:lang w:eastAsia="en-US"/>
        </w:rPr>
      </w:pPr>
      <w:r w:rsidRPr="00DA0BD0">
        <w:rPr>
          <w:rFonts w:cs="Arial"/>
          <w:bCs/>
          <w:u w:val="single"/>
          <w:lang w:eastAsia="en-US"/>
        </w:rPr>
        <w:lastRenderedPageBreak/>
        <w:t xml:space="preserve">Document 2 : </w:t>
      </w:r>
      <w:r w:rsidRPr="00DA0BD0">
        <w:rPr>
          <w:rFonts w:cs="Arial"/>
          <w:bCs/>
          <w:lang w:eastAsia="en-US"/>
        </w:rPr>
        <w:t>La périurbanisation à Mennecy (département de l’Essonne, Ile-de-France)</w:t>
      </w:r>
    </w:p>
    <w:p w:rsidR="00DA0BD0" w:rsidRPr="00DA0BD0" w:rsidRDefault="00DA0BD0" w:rsidP="00DA0BD0">
      <w:pPr>
        <w:spacing w:after="0" w:line="240" w:lineRule="auto"/>
        <w:ind w:left="0"/>
        <w:rPr>
          <w:rFonts w:cs="Arial"/>
          <w:lang w:eastAsia="en-US"/>
        </w:rPr>
      </w:pPr>
    </w:p>
    <w:p w:rsidR="00DA0BD0" w:rsidRPr="00DA0BD0" w:rsidRDefault="00DA0BD0" w:rsidP="00DA0BD0">
      <w:pPr>
        <w:spacing w:after="0" w:line="240" w:lineRule="auto"/>
        <w:ind w:left="142" w:right="139"/>
        <w:contextualSpacing/>
        <w:jc w:val="center"/>
        <w:rPr>
          <w:rFonts w:cs="Arial"/>
          <w:b/>
          <w:u w:val="single"/>
          <w:lang w:eastAsia="en-US"/>
        </w:rPr>
      </w:pPr>
      <w:r w:rsidRPr="00DA0BD0">
        <w:rPr>
          <w:rFonts w:cs="Arial"/>
          <w:bCs/>
          <w:noProof/>
        </w:rPr>
        <w:drawing>
          <wp:inline distT="0" distB="0" distL="0" distR="0" wp14:anchorId="084F96AC" wp14:editId="70540359">
            <wp:extent cx="6299200" cy="3285490"/>
            <wp:effectExtent l="0" t="0" r="0" b="3810"/>
            <wp:docPr id="1073741883" name="Image 107374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83" name="1 Mennecy.PNG"/>
                    <pic:cNvPicPr/>
                  </pic:nvPicPr>
                  <pic:blipFill>
                    <a:blip r:embed="rId8">
                      <a:extLst>
                        <a:ext uri="{28A0092B-C50C-407E-A947-70E740481C1C}">
                          <a14:useLocalDpi xmlns:a14="http://schemas.microsoft.com/office/drawing/2010/main" val="0"/>
                        </a:ext>
                      </a:extLst>
                    </a:blip>
                    <a:stretch>
                      <a:fillRect/>
                    </a:stretch>
                  </pic:blipFill>
                  <pic:spPr>
                    <a:xfrm>
                      <a:off x="0" y="0"/>
                      <a:ext cx="6299200" cy="3285490"/>
                    </a:xfrm>
                    <a:prstGeom prst="rect">
                      <a:avLst/>
                    </a:prstGeom>
                  </pic:spPr>
                </pic:pic>
              </a:graphicData>
            </a:graphic>
          </wp:inline>
        </w:drawing>
      </w:r>
    </w:p>
    <w:p w:rsidR="00DA0BD0" w:rsidRPr="00DA0BD0" w:rsidRDefault="00DA0BD0" w:rsidP="00DA0BD0">
      <w:pPr>
        <w:spacing w:after="0" w:line="240" w:lineRule="auto"/>
        <w:ind w:left="142" w:right="139"/>
        <w:contextualSpacing/>
        <w:jc w:val="center"/>
        <w:rPr>
          <w:rFonts w:cs="Arial"/>
          <w:b/>
          <w:u w:val="single"/>
          <w:lang w:eastAsia="en-US"/>
        </w:rPr>
      </w:pPr>
    </w:p>
    <w:p w:rsidR="00DA0BD0" w:rsidRPr="00DA0BD0" w:rsidRDefault="00DA0BD0" w:rsidP="00DA0BD0">
      <w:pPr>
        <w:spacing w:after="0" w:line="240" w:lineRule="auto"/>
        <w:ind w:left="142" w:right="139"/>
        <w:contextualSpacing/>
        <w:rPr>
          <w:rFonts w:cs="Arial"/>
          <w:noProof/>
          <w:lang w:eastAsia="en-US"/>
        </w:rPr>
      </w:pPr>
      <w:r w:rsidRPr="00DA0BD0">
        <w:rPr>
          <w:rFonts w:cs="Arial"/>
          <w:bCs/>
          <w:lang w:eastAsia="en-US"/>
        </w:rPr>
        <w:t xml:space="preserve">Source : </w:t>
      </w:r>
      <w:proofErr w:type="spellStart"/>
      <w:r w:rsidRPr="00DA0BD0">
        <w:rPr>
          <w:rFonts w:cs="Arial"/>
          <w:bCs/>
          <w:lang w:eastAsia="en-US"/>
        </w:rPr>
        <w:t>Géoportail</w:t>
      </w:r>
      <w:proofErr w:type="spellEnd"/>
      <w:r w:rsidRPr="00DA0BD0">
        <w:rPr>
          <w:rFonts w:cs="Arial"/>
          <w:bCs/>
          <w:lang w:eastAsia="en-US"/>
        </w:rPr>
        <w:t xml:space="preserve">, </w:t>
      </w:r>
      <w:r w:rsidRPr="00DA0BD0">
        <w:rPr>
          <w:rFonts w:cs="Arial"/>
          <w:noProof/>
          <w:lang w:eastAsia="en-US"/>
        </w:rPr>
        <w:t xml:space="preserve">www.geoportail.gouv.fr  </w:t>
      </w:r>
    </w:p>
    <w:p w:rsidR="00DA0BD0" w:rsidRPr="00DA0BD0" w:rsidRDefault="00DA0BD0" w:rsidP="00DA0BD0">
      <w:pPr>
        <w:spacing w:after="0" w:line="240" w:lineRule="auto"/>
        <w:ind w:left="0"/>
        <w:rPr>
          <w:rFonts w:cs="Arial"/>
          <w:lang w:eastAsia="en-US"/>
        </w:rPr>
      </w:pPr>
    </w:p>
    <w:p w:rsidR="00DA0BD0" w:rsidRPr="00DA0BD0" w:rsidRDefault="00DA0BD0" w:rsidP="00DA0BD0">
      <w:pPr>
        <w:spacing w:after="0" w:line="240" w:lineRule="auto"/>
        <w:ind w:left="0"/>
        <w:rPr>
          <w:rFonts w:cs="Arial"/>
          <w:b/>
          <w:u w:val="single"/>
          <w:lang w:eastAsia="en-US"/>
        </w:rPr>
      </w:pPr>
    </w:p>
    <w:p w:rsidR="00DA0BD0" w:rsidRPr="00DA0BD0" w:rsidRDefault="00DA0BD0" w:rsidP="00DA0BD0">
      <w:pPr>
        <w:spacing w:after="0" w:line="240" w:lineRule="auto"/>
        <w:ind w:left="0"/>
        <w:rPr>
          <w:rFonts w:cs="Arial"/>
          <w:bCs/>
          <w:lang w:eastAsia="en-US"/>
        </w:rPr>
      </w:pPr>
      <w:r w:rsidRPr="00DA0BD0">
        <w:rPr>
          <w:rFonts w:cs="Arial"/>
          <w:bCs/>
          <w:lang w:eastAsia="en-US"/>
        </w:rPr>
        <w:t>Questions :</w:t>
      </w:r>
    </w:p>
    <w:p w:rsidR="00DA0BD0" w:rsidRPr="00DA0BD0" w:rsidRDefault="00DA0BD0" w:rsidP="00DA0BD0">
      <w:pPr>
        <w:spacing w:after="0" w:line="240" w:lineRule="auto"/>
        <w:ind w:left="0"/>
        <w:rPr>
          <w:rFonts w:cs="Arial"/>
          <w:b/>
          <w:u w:val="single"/>
          <w:lang w:eastAsia="en-US"/>
        </w:rPr>
      </w:pPr>
    </w:p>
    <w:p w:rsidR="00DA0BD0" w:rsidRPr="00DA0BD0" w:rsidRDefault="00DA0BD0" w:rsidP="00DA0BD0">
      <w:pPr>
        <w:numPr>
          <w:ilvl w:val="0"/>
          <w:numId w:val="3"/>
        </w:numPr>
        <w:spacing w:after="0" w:line="240" w:lineRule="auto"/>
        <w:contextualSpacing/>
        <w:rPr>
          <w:rFonts w:cs="Arial"/>
          <w:lang w:eastAsia="en-US"/>
        </w:rPr>
      </w:pPr>
      <w:r w:rsidRPr="00DA0BD0">
        <w:rPr>
          <w:rFonts w:cs="Arial"/>
          <w:lang w:eastAsia="en-US"/>
        </w:rPr>
        <w:t xml:space="preserve">Définissez les espaces périurbains. </w:t>
      </w:r>
    </w:p>
    <w:p w:rsidR="00DA0BD0" w:rsidRPr="00DA0BD0" w:rsidRDefault="00DA0BD0" w:rsidP="00DA0BD0">
      <w:pPr>
        <w:numPr>
          <w:ilvl w:val="0"/>
          <w:numId w:val="3"/>
        </w:numPr>
        <w:spacing w:after="0" w:line="240" w:lineRule="auto"/>
        <w:contextualSpacing/>
        <w:rPr>
          <w:rFonts w:cs="Arial"/>
          <w:lang w:eastAsia="en-US"/>
        </w:rPr>
      </w:pPr>
      <w:r w:rsidRPr="00DA0BD0">
        <w:rPr>
          <w:rFonts w:cs="Arial"/>
          <w:lang w:eastAsia="en-US"/>
        </w:rPr>
        <w:t xml:space="preserve">Relevez les fonctions des espaces périurbains. </w:t>
      </w:r>
    </w:p>
    <w:p w:rsidR="00DA0BD0" w:rsidRPr="00DA0BD0" w:rsidRDefault="00DA0BD0" w:rsidP="00DA0BD0">
      <w:pPr>
        <w:numPr>
          <w:ilvl w:val="0"/>
          <w:numId w:val="3"/>
        </w:numPr>
        <w:spacing w:after="0" w:line="240" w:lineRule="auto"/>
        <w:contextualSpacing/>
        <w:rPr>
          <w:rFonts w:cs="Arial"/>
          <w:lang w:eastAsia="en-US"/>
        </w:rPr>
      </w:pPr>
      <w:r w:rsidRPr="00DA0BD0">
        <w:rPr>
          <w:rFonts w:cs="Arial"/>
          <w:lang w:eastAsia="en-US"/>
        </w:rPr>
        <w:t xml:space="preserve">Expliquez pourquoi les espaces périurbains sont la cible de critiques. </w:t>
      </w:r>
    </w:p>
    <w:p w:rsidR="00DA0BD0" w:rsidRPr="00DA0BD0" w:rsidRDefault="00DA0BD0" w:rsidP="00DA0BD0">
      <w:pPr>
        <w:numPr>
          <w:ilvl w:val="0"/>
          <w:numId w:val="3"/>
        </w:numPr>
        <w:spacing w:after="0" w:line="240" w:lineRule="auto"/>
        <w:rPr>
          <w:rFonts w:cs="Arial"/>
          <w:lang w:eastAsia="en-US"/>
        </w:rPr>
      </w:pPr>
      <w:r w:rsidRPr="00DA0BD0">
        <w:rPr>
          <w:rFonts w:cs="Arial"/>
          <w:lang w:eastAsia="en-US"/>
        </w:rPr>
        <w:t>Montrez que la périurbanisation transforme les espaces ruraux.</w:t>
      </w:r>
    </w:p>
    <w:p w:rsidR="00DA0BD0" w:rsidRPr="00DA0BD0" w:rsidRDefault="00DA0BD0" w:rsidP="00DA0BD0">
      <w:pPr>
        <w:spacing w:after="0" w:line="240" w:lineRule="auto"/>
        <w:ind w:left="0"/>
        <w:rPr>
          <w:rFonts w:cs="Arial"/>
          <w:b/>
          <w:u w:val="single"/>
          <w:lang w:eastAsia="en-US"/>
        </w:rPr>
      </w:pPr>
      <w:r w:rsidRPr="00DA0BD0">
        <w:rPr>
          <w:rFonts w:cs="Arial"/>
          <w:b/>
          <w:u w:val="single"/>
          <w:lang w:eastAsia="en-US"/>
        </w:rPr>
        <w:br w:type="page"/>
      </w:r>
    </w:p>
    <w:p w:rsidR="00DA0BD0" w:rsidRPr="00DA0BD0" w:rsidRDefault="00DA0BD0" w:rsidP="00DA0BD0">
      <w:pPr>
        <w:spacing w:after="0" w:line="240" w:lineRule="auto"/>
        <w:ind w:left="0"/>
        <w:jc w:val="center"/>
        <w:rPr>
          <w:rFonts w:cs="Arial"/>
          <w:b/>
          <w:lang w:eastAsia="en-US"/>
        </w:rPr>
      </w:pPr>
      <w:r w:rsidRPr="00DA0BD0">
        <w:rPr>
          <w:rFonts w:cs="Arial"/>
          <w:b/>
          <w:u w:val="single"/>
          <w:lang w:eastAsia="en-US"/>
        </w:rPr>
        <w:lastRenderedPageBreak/>
        <w:t xml:space="preserve">Sujet d’étude : </w:t>
      </w:r>
      <w:r w:rsidRPr="00DA0BD0">
        <w:rPr>
          <w:rFonts w:cs="Arial"/>
          <w:b/>
          <w:lang w:eastAsia="en-US"/>
        </w:rPr>
        <w:t>L’agro-tourisme en France (métropolitaine et ultramarine)</w:t>
      </w:r>
      <w:r w:rsidRPr="00DA0BD0">
        <w:rPr>
          <w:rFonts w:cs="Arial"/>
          <w:b/>
          <w:lang w:eastAsia="en-US"/>
        </w:rPr>
        <w:cr/>
      </w:r>
    </w:p>
    <w:p w:rsidR="00DA0BD0" w:rsidRPr="00DA0BD0" w:rsidRDefault="00DA0BD0" w:rsidP="00DA0BD0">
      <w:pPr>
        <w:spacing w:after="0" w:line="240" w:lineRule="auto"/>
        <w:ind w:left="0"/>
        <w:rPr>
          <w:rFonts w:cs="Arial"/>
          <w:u w:val="single"/>
          <w:lang w:eastAsia="en-US"/>
        </w:rPr>
      </w:pPr>
    </w:p>
    <w:p w:rsidR="00DA0BD0" w:rsidRPr="00DA0BD0" w:rsidRDefault="00DA0BD0" w:rsidP="00DA0BD0">
      <w:pPr>
        <w:spacing w:after="0" w:line="240" w:lineRule="auto"/>
        <w:ind w:left="0"/>
        <w:rPr>
          <w:rFonts w:cs="Arial"/>
          <w:u w:val="single"/>
          <w:lang w:eastAsia="en-US"/>
        </w:rPr>
      </w:pPr>
      <w:r w:rsidRPr="00DA0BD0">
        <w:rPr>
          <w:rFonts w:cs="Arial"/>
          <w:u w:val="single"/>
          <w:lang w:eastAsia="en-US"/>
        </w:rPr>
        <w:t>Document 1 : </w:t>
      </w:r>
      <w:r w:rsidRPr="00DA0BD0">
        <w:rPr>
          <w:rFonts w:cs="Arial"/>
          <w:lang w:eastAsia="en-US"/>
        </w:rPr>
        <w:t>l’agrotourisme dans la Région Grand-Est</w:t>
      </w:r>
    </w:p>
    <w:p w:rsidR="00DA0BD0" w:rsidRPr="00DA0BD0" w:rsidRDefault="00DA0BD0" w:rsidP="00DA0BD0">
      <w:pPr>
        <w:spacing w:before="120" w:after="0" w:line="240" w:lineRule="auto"/>
        <w:ind w:left="0"/>
        <w:rPr>
          <w:rFonts w:cs="Arial"/>
          <w:lang w:eastAsia="en-US"/>
        </w:rPr>
      </w:pPr>
      <w:r w:rsidRPr="00DA0BD0">
        <w:rPr>
          <w:rFonts w:cs="Arial"/>
          <w:lang w:eastAsia="en-US"/>
        </w:rPr>
        <w:t>Depuis plusieurs années, les consommateurs privilégient la consommation locale de produits et services. La région Grand Est recèle des atouts avec quelques bassins de consommation particulièrement développés tels que Strasbourg, Metz Métropole, elle est située au cœur de l’Europe. La région connaît une attractivité touristique en croissance. Dans les zones rurales, l’offre agro-touristique est en plein essor.</w:t>
      </w:r>
      <w:r w:rsidRPr="00DA0BD0">
        <w:rPr>
          <w:rFonts w:cs="Arial"/>
          <w:lang w:eastAsia="en-US"/>
        </w:rPr>
        <w:br/>
        <w:t>Dans ce contexte, le développement et l’accompagnement des circuits courts et de proximité sont prioritaires. L’enjeu pour les agriculteurs est de diversifier ces sources de valeur ajoutée par la mise en place de démarches individuelles et d’outils collectifs de transformation et commercialisation.</w:t>
      </w:r>
      <w:r w:rsidRPr="00DA0BD0">
        <w:rPr>
          <w:rFonts w:cs="Arial"/>
          <w:lang w:eastAsia="en-US"/>
        </w:rPr>
        <w:br/>
        <w:t>L'objectif du réseau des chambres à travers ses conseillers circuits courts est d’accompagner les agriculteurs dans la valorisation de leurs produits par le conseil en faveur de la diversification et de l’agritourisme. L'accompagnement se réalise dès l'émergence du projet grâce à l'accueil sur le point diversification.</w:t>
      </w:r>
    </w:p>
    <w:p w:rsidR="00DA0BD0" w:rsidRPr="00DA0BD0" w:rsidRDefault="00DA0BD0" w:rsidP="00DA0BD0">
      <w:pPr>
        <w:spacing w:before="120" w:after="0" w:line="240" w:lineRule="auto"/>
        <w:ind w:left="0"/>
        <w:rPr>
          <w:rFonts w:cs="Arial"/>
          <w:lang w:eastAsia="en-US"/>
        </w:rPr>
      </w:pPr>
      <w:r w:rsidRPr="00DA0BD0">
        <w:rPr>
          <w:rFonts w:cs="Arial"/>
          <w:lang w:eastAsia="en-US"/>
        </w:rPr>
        <w:t xml:space="preserve">Source : Chambre d’agriculture. Région Grand-Est. </w:t>
      </w:r>
      <w:hyperlink r:id="rId9" w:history="1">
        <w:r w:rsidRPr="00DA0BD0">
          <w:rPr>
            <w:rFonts w:cs="Arial"/>
            <w:color w:val="0563C1"/>
            <w:u w:val="single"/>
            <w:lang w:eastAsia="en-US"/>
          </w:rPr>
          <w:t>https://grandest.chambre-agriculture.fr/economie-filieres/diversification-agritourisme/</w:t>
        </w:r>
      </w:hyperlink>
      <w:r w:rsidRPr="00DA0BD0">
        <w:rPr>
          <w:rFonts w:cs="Arial"/>
          <w:lang w:eastAsia="en-US"/>
        </w:rPr>
        <w:t xml:space="preserve">  </w:t>
      </w:r>
    </w:p>
    <w:p w:rsidR="00DA0BD0" w:rsidRPr="00DA0BD0" w:rsidRDefault="00DA0BD0" w:rsidP="00DA0BD0">
      <w:pPr>
        <w:spacing w:before="120" w:after="0" w:line="240" w:lineRule="auto"/>
        <w:ind w:left="0"/>
        <w:rPr>
          <w:rFonts w:cs="Arial"/>
          <w:lang w:eastAsia="en-US"/>
        </w:rPr>
      </w:pPr>
    </w:p>
    <w:p w:rsidR="00DA0BD0" w:rsidRPr="00DA0BD0" w:rsidRDefault="00DA0BD0" w:rsidP="00DA0BD0">
      <w:pPr>
        <w:spacing w:before="120" w:after="120" w:line="240" w:lineRule="auto"/>
        <w:ind w:left="0"/>
        <w:rPr>
          <w:rFonts w:cs="Arial"/>
          <w:u w:val="single"/>
          <w:lang w:eastAsia="en-US"/>
        </w:rPr>
      </w:pPr>
      <w:r w:rsidRPr="00DA0BD0">
        <w:rPr>
          <w:rFonts w:cs="Arial"/>
          <w:u w:val="single"/>
          <w:lang w:eastAsia="en-US"/>
        </w:rPr>
        <w:t xml:space="preserve">Document 2 : </w:t>
      </w:r>
      <w:r w:rsidRPr="00DA0BD0">
        <w:rPr>
          <w:rFonts w:cs="Arial"/>
          <w:lang w:eastAsia="en-US"/>
        </w:rPr>
        <w:t>affiche promouvant l’hébergement Airbnb</w:t>
      </w:r>
      <w:r w:rsidRPr="00DA0BD0">
        <w:rPr>
          <w:rFonts w:cs="Arial"/>
          <w:vertAlign w:val="superscript"/>
          <w:lang w:eastAsia="en-US"/>
        </w:rPr>
        <w:t>1</w:t>
      </w:r>
      <w:r w:rsidRPr="00DA0BD0">
        <w:rPr>
          <w:rFonts w:cs="Arial"/>
          <w:lang w:eastAsia="en-US"/>
        </w:rPr>
        <w:t xml:space="preserve"> dans les espaces ruraux</w:t>
      </w:r>
    </w:p>
    <w:p w:rsidR="00DA0BD0" w:rsidRPr="00DA0BD0" w:rsidRDefault="00DA0BD0" w:rsidP="00DA0BD0">
      <w:pPr>
        <w:spacing w:after="0" w:line="240" w:lineRule="auto"/>
        <w:ind w:left="0"/>
        <w:rPr>
          <w:rFonts w:cs="Arial"/>
          <w:lang w:eastAsia="en-US"/>
        </w:rPr>
      </w:pPr>
      <w:r w:rsidRPr="00DA0BD0">
        <w:rPr>
          <w:rFonts w:cs="Arial"/>
          <w:noProof/>
        </w:rPr>
        <w:drawing>
          <wp:inline distT="0" distB="0" distL="0" distR="0" wp14:anchorId="62115661" wp14:editId="4E2BBA8D">
            <wp:extent cx="5381625" cy="2828925"/>
            <wp:effectExtent l="0" t="0" r="9525" b="9525"/>
            <wp:docPr id="1073741854" name="Image 1073741854" descr="Une image contenant arbre, extérieur, herbe, 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s-titre.png"/>
                    <pic:cNvPicPr/>
                  </pic:nvPicPr>
                  <pic:blipFill>
                    <a:blip r:embed="rId10">
                      <a:extLst>
                        <a:ext uri="{28A0092B-C50C-407E-A947-70E740481C1C}">
                          <a14:useLocalDpi xmlns:a14="http://schemas.microsoft.com/office/drawing/2010/main" val="0"/>
                        </a:ext>
                      </a:extLst>
                    </a:blip>
                    <a:stretch>
                      <a:fillRect/>
                    </a:stretch>
                  </pic:blipFill>
                  <pic:spPr>
                    <a:xfrm>
                      <a:off x="0" y="0"/>
                      <a:ext cx="5381625" cy="2828925"/>
                    </a:xfrm>
                    <a:prstGeom prst="rect">
                      <a:avLst/>
                    </a:prstGeom>
                  </pic:spPr>
                </pic:pic>
              </a:graphicData>
            </a:graphic>
          </wp:inline>
        </w:drawing>
      </w:r>
    </w:p>
    <w:p w:rsidR="00DA0BD0" w:rsidRPr="00DA0BD0" w:rsidRDefault="00DA0BD0" w:rsidP="00DA0BD0">
      <w:pPr>
        <w:spacing w:after="0" w:line="240" w:lineRule="auto"/>
        <w:ind w:left="0"/>
        <w:rPr>
          <w:rFonts w:cs="Arial"/>
          <w:lang w:eastAsia="en-US"/>
        </w:rPr>
      </w:pPr>
      <w:r w:rsidRPr="00DA0BD0">
        <w:rPr>
          <w:rFonts w:cs="Arial"/>
          <w:lang w:eastAsia="en-US"/>
        </w:rPr>
        <w:t xml:space="preserve">Note : </w:t>
      </w:r>
    </w:p>
    <w:p w:rsidR="00DA0BD0" w:rsidRPr="00DA0BD0" w:rsidRDefault="00DA0BD0" w:rsidP="00DA0BD0">
      <w:pPr>
        <w:numPr>
          <w:ilvl w:val="0"/>
          <w:numId w:val="4"/>
        </w:numPr>
        <w:spacing w:after="0" w:line="240" w:lineRule="auto"/>
        <w:contextualSpacing/>
        <w:rPr>
          <w:rFonts w:cs="Arial"/>
          <w:sz w:val="22"/>
          <w:lang w:eastAsia="en-US"/>
        </w:rPr>
      </w:pPr>
      <w:r w:rsidRPr="00DA0BD0">
        <w:rPr>
          <w:rFonts w:cs="Arial"/>
          <w:sz w:val="22"/>
          <w:lang w:eastAsia="en-US"/>
        </w:rPr>
        <w:t>Plateforme de location d’hébergement en ligne entre particuliers.</w:t>
      </w:r>
    </w:p>
    <w:p w:rsidR="00DA0BD0" w:rsidRPr="00DA0BD0" w:rsidRDefault="00DA0BD0" w:rsidP="00DA0BD0">
      <w:pPr>
        <w:spacing w:after="0" w:line="240" w:lineRule="auto"/>
        <w:ind w:left="0"/>
        <w:rPr>
          <w:rFonts w:cs="Arial"/>
          <w:lang w:eastAsia="en-US"/>
        </w:rPr>
      </w:pPr>
      <w:r w:rsidRPr="00DA0BD0">
        <w:rPr>
          <w:rFonts w:cs="Arial"/>
          <w:lang w:eastAsia="en-US"/>
        </w:rPr>
        <w:t xml:space="preserve">Source : </w:t>
      </w:r>
      <w:hyperlink r:id="rId11" w:history="1">
        <w:r w:rsidRPr="00DA0BD0">
          <w:rPr>
            <w:rFonts w:cs="Arial"/>
            <w:color w:val="000000"/>
            <w:u w:val="single"/>
            <w:lang w:eastAsia="en-US"/>
          </w:rPr>
          <w:t>http://www.voyageons-autrement.com/airbnb-bienvenue-a-la-ferme-et-miimosa-s-associent-pour-soutenir-l-agrotourisme</w:t>
        </w:r>
      </w:hyperlink>
      <w:r w:rsidRPr="00DA0BD0">
        <w:rPr>
          <w:rFonts w:cs="Arial"/>
          <w:color w:val="000000"/>
          <w:lang w:eastAsia="en-US"/>
        </w:rPr>
        <w:t xml:space="preserve"> </w:t>
      </w:r>
      <w:r w:rsidRPr="00DA0BD0">
        <w:rPr>
          <w:rFonts w:cs="Arial"/>
          <w:lang w:eastAsia="en-US"/>
        </w:rPr>
        <w:t>[consulté en octobre2019]</w:t>
      </w:r>
      <w:r w:rsidRPr="00DA0BD0">
        <w:rPr>
          <w:rFonts w:cs="Arial"/>
          <w:lang w:eastAsia="en-US"/>
        </w:rPr>
        <w:br w:type="page"/>
      </w:r>
    </w:p>
    <w:p w:rsidR="00DA0BD0" w:rsidRPr="00DA0BD0" w:rsidRDefault="00DA0BD0" w:rsidP="00DA0BD0">
      <w:pPr>
        <w:spacing w:after="120" w:line="240" w:lineRule="auto"/>
        <w:ind w:left="0"/>
        <w:rPr>
          <w:rFonts w:cs="Arial"/>
          <w:lang w:eastAsia="en-US"/>
        </w:rPr>
      </w:pPr>
      <w:r w:rsidRPr="00DA0BD0">
        <w:rPr>
          <w:rFonts w:cs="Arial"/>
          <w:lang w:eastAsia="en-US"/>
        </w:rPr>
        <w:lastRenderedPageBreak/>
        <w:t xml:space="preserve">Questions : </w:t>
      </w:r>
    </w:p>
    <w:p w:rsidR="00DA0BD0" w:rsidRPr="00DA0BD0" w:rsidRDefault="00DA0BD0" w:rsidP="00DA0BD0">
      <w:pPr>
        <w:numPr>
          <w:ilvl w:val="0"/>
          <w:numId w:val="5"/>
        </w:numPr>
        <w:spacing w:after="120" w:line="276" w:lineRule="auto"/>
        <w:contextualSpacing/>
        <w:rPr>
          <w:rFonts w:cs="Arial"/>
          <w:lang w:eastAsia="en-US"/>
        </w:rPr>
      </w:pPr>
      <w:r w:rsidRPr="00DA0BD0">
        <w:rPr>
          <w:rFonts w:cs="Arial"/>
          <w:lang w:eastAsia="en-US"/>
        </w:rPr>
        <w:t>Définissez l’agrotourisme.</w:t>
      </w:r>
    </w:p>
    <w:p w:rsidR="00DA0BD0" w:rsidRPr="00DA0BD0" w:rsidRDefault="00DA0BD0" w:rsidP="00DA0BD0">
      <w:pPr>
        <w:numPr>
          <w:ilvl w:val="0"/>
          <w:numId w:val="5"/>
        </w:numPr>
        <w:spacing w:after="0" w:line="240" w:lineRule="auto"/>
        <w:contextualSpacing/>
        <w:rPr>
          <w:rFonts w:cs="Arial"/>
          <w:lang w:eastAsia="en-US"/>
        </w:rPr>
      </w:pPr>
      <w:r w:rsidRPr="00DA0BD0">
        <w:rPr>
          <w:rFonts w:cs="Arial"/>
          <w:lang w:eastAsia="en-US"/>
        </w:rPr>
        <w:t>Décrivez les différents modes d’accueil et d’activités pour les touristes.</w:t>
      </w:r>
    </w:p>
    <w:p w:rsidR="00DA0BD0" w:rsidRPr="00DA0BD0" w:rsidRDefault="00DA0BD0" w:rsidP="00DA0BD0">
      <w:pPr>
        <w:numPr>
          <w:ilvl w:val="0"/>
          <w:numId w:val="5"/>
        </w:numPr>
        <w:spacing w:after="0" w:line="240" w:lineRule="auto"/>
        <w:contextualSpacing/>
        <w:rPr>
          <w:rFonts w:cs="Arial"/>
          <w:lang w:eastAsia="en-US"/>
        </w:rPr>
      </w:pPr>
      <w:r w:rsidRPr="00DA0BD0">
        <w:rPr>
          <w:rFonts w:cs="Arial"/>
          <w:lang w:eastAsia="en-US"/>
        </w:rPr>
        <w:t>Montrez que les différentes activités illustrent la multifonctionnalité des espaces ruraux.</w:t>
      </w:r>
    </w:p>
    <w:p w:rsidR="00DA0BD0" w:rsidRPr="00DA0BD0" w:rsidRDefault="00DA0BD0" w:rsidP="00DA0BD0">
      <w:pPr>
        <w:numPr>
          <w:ilvl w:val="0"/>
          <w:numId w:val="5"/>
        </w:numPr>
        <w:spacing w:after="0" w:line="240" w:lineRule="auto"/>
        <w:contextualSpacing/>
        <w:rPr>
          <w:rFonts w:cs="Arial"/>
          <w:lang w:eastAsia="en-US"/>
        </w:rPr>
      </w:pPr>
      <w:r w:rsidRPr="00DA0BD0">
        <w:rPr>
          <w:rFonts w:cs="Arial"/>
          <w:lang w:eastAsia="en-US"/>
        </w:rPr>
        <w:t xml:space="preserve">Pourquoi l’agrotourisme est-il encouragé ? </w:t>
      </w:r>
    </w:p>
    <w:p w:rsidR="00DA0BD0" w:rsidRPr="00DA0BD0" w:rsidRDefault="00DA0BD0" w:rsidP="00DA0BD0">
      <w:pPr>
        <w:spacing w:after="0" w:line="240" w:lineRule="auto"/>
        <w:ind w:left="0"/>
        <w:rPr>
          <w:rFonts w:ascii="Calibri" w:hAnsi="Calibri"/>
          <w:lang w:eastAsia="en-US"/>
        </w:rPr>
      </w:pPr>
    </w:p>
    <w:p w:rsidR="00DA0BD0" w:rsidRPr="00DA0BD0" w:rsidRDefault="00DA0BD0" w:rsidP="00DA0BD0">
      <w:pPr>
        <w:keepNext/>
        <w:keepLines/>
        <w:spacing w:after="0" w:line="240" w:lineRule="auto"/>
        <w:ind w:left="0"/>
        <w:outlineLvl w:val="0"/>
        <w:rPr>
          <w:rFonts w:ascii="Calibri Light" w:eastAsia="Times New Roman" w:hAnsi="Calibri Light"/>
          <w:b/>
          <w:bCs/>
          <w:color w:val="2F5496"/>
          <w:sz w:val="28"/>
          <w:szCs w:val="28"/>
        </w:rPr>
      </w:pPr>
    </w:p>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66D" w:rsidRDefault="00FE666D" w:rsidP="0053612B">
      <w:pPr>
        <w:spacing w:after="0" w:line="240" w:lineRule="auto"/>
      </w:pPr>
      <w:r>
        <w:separator/>
      </w:r>
    </w:p>
  </w:endnote>
  <w:endnote w:type="continuationSeparator" w:id="0">
    <w:p w:rsidR="00FE666D" w:rsidRDefault="00FE666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67D0D" w:rsidRPr="00167D0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67D0D" w:rsidRPr="00167D0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67D0D" w:rsidRPr="00167D0D">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67D0D" w:rsidRPr="00167D0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66D" w:rsidRDefault="00FE666D" w:rsidP="0053612B">
      <w:pPr>
        <w:spacing w:after="0" w:line="240" w:lineRule="auto"/>
      </w:pPr>
      <w:r>
        <w:separator/>
      </w:r>
    </w:p>
  </w:footnote>
  <w:footnote w:type="continuationSeparator" w:id="0">
    <w:p w:rsidR="00FE666D" w:rsidRDefault="00FE666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7685"/>
    <w:multiLevelType w:val="hybridMultilevel"/>
    <w:tmpl w:val="CEC4D8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8F2E3C"/>
    <w:multiLevelType w:val="hybridMultilevel"/>
    <w:tmpl w:val="DF9607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67D48CB"/>
    <w:multiLevelType w:val="hybridMultilevel"/>
    <w:tmpl w:val="95CA054C"/>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221BAD"/>
    <w:multiLevelType w:val="hybridMultilevel"/>
    <w:tmpl w:val="181076F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5C3"/>
    <w:rsid w:val="000134A9"/>
    <w:rsid w:val="000508EF"/>
    <w:rsid w:val="000A3345"/>
    <w:rsid w:val="000C6554"/>
    <w:rsid w:val="00103C42"/>
    <w:rsid w:val="001056A2"/>
    <w:rsid w:val="00116AFA"/>
    <w:rsid w:val="00121498"/>
    <w:rsid w:val="00133B59"/>
    <w:rsid w:val="001424D6"/>
    <w:rsid w:val="001532D0"/>
    <w:rsid w:val="00167D0D"/>
    <w:rsid w:val="001718FD"/>
    <w:rsid w:val="001771F9"/>
    <w:rsid w:val="0022445A"/>
    <w:rsid w:val="002749D2"/>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55704"/>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A0BD0"/>
    <w:rsid w:val="00DF420B"/>
    <w:rsid w:val="00E32F53"/>
    <w:rsid w:val="00E33B39"/>
    <w:rsid w:val="00E35FD3"/>
    <w:rsid w:val="00E3694F"/>
    <w:rsid w:val="00E455C3"/>
    <w:rsid w:val="00E51C64"/>
    <w:rsid w:val="00E5600F"/>
    <w:rsid w:val="00E63874"/>
    <w:rsid w:val="00E80D3C"/>
    <w:rsid w:val="00EA0C7A"/>
    <w:rsid w:val="00EC54C4"/>
    <w:rsid w:val="00EE1F69"/>
    <w:rsid w:val="00EF0FAA"/>
    <w:rsid w:val="00F03BC8"/>
    <w:rsid w:val="00F06AF1"/>
    <w:rsid w:val="00F074C8"/>
    <w:rsid w:val="00F13990"/>
    <w:rsid w:val="00FA2E0B"/>
    <w:rsid w:val="00FA75C8"/>
    <w:rsid w:val="00FC7DB4"/>
    <w:rsid w:val="00FE666D"/>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DA0BD0"/>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oyageons-autrement.com/airbnb-bienvenue-a-la-ferme-et-miimosa-s-associent-pour-soutenir-l-agritourism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grandest.chambre-agriculture.fr/economie-filieres/diversification-agritourism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998</Words>
  <Characters>5491</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2023-01-24T19:20:00Z</dcterms:created>
  <dcterms:modified xsi:type="dcterms:W3CDTF">2023-01-25T20:42:00Z</dcterms:modified>
</cp:coreProperties>
</file>