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F335F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0651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1E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0651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0651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6431EA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6431EA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F335F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CF335F" w:rsidRPr="00CF335F" w:rsidRDefault="00CF335F" w:rsidP="00CF33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F335F" w:rsidRDefault="00CF335F" w:rsidP="00CF335F">
      <w:pPr>
        <w:spacing w:after="0" w:line="240" w:lineRule="auto"/>
        <w:ind w:left="142"/>
        <w:rPr>
          <w:rFonts w:cs="Arial"/>
          <w:noProof/>
        </w:rPr>
      </w:pPr>
    </w:p>
    <w:p w:rsidR="00CF335F" w:rsidRDefault="00CF335F" w:rsidP="00CF335F">
      <w:pPr>
        <w:spacing w:after="0" w:line="240" w:lineRule="auto"/>
        <w:ind w:left="142"/>
        <w:rPr>
          <w:rFonts w:cs="Arial"/>
          <w:noProof/>
        </w:rPr>
      </w:pPr>
    </w:p>
    <w:p w:rsidR="00CF335F" w:rsidRDefault="00CF335F" w:rsidP="00CF335F">
      <w:pPr>
        <w:spacing w:after="0" w:line="240" w:lineRule="auto"/>
        <w:ind w:left="142"/>
        <w:rPr>
          <w:rFonts w:cs="Arial"/>
          <w:noProof/>
        </w:rPr>
      </w:pPr>
    </w:p>
    <w:p w:rsidR="00CF335F" w:rsidRDefault="00CF335F" w:rsidP="00CF335F">
      <w:pPr>
        <w:spacing w:after="0" w:line="240" w:lineRule="auto"/>
        <w:ind w:left="142"/>
        <w:rPr>
          <w:rFonts w:cs="Arial"/>
          <w:noProof/>
        </w:rPr>
      </w:pPr>
      <w:r w:rsidRPr="00CF335F">
        <w:rPr>
          <w:rFonts w:cs="Arial"/>
          <w:noProof/>
        </w:rPr>
        <w:t>1. Définissez la notion de « </w:t>
      </w:r>
      <w:r w:rsidRPr="00CF335F">
        <w:rPr>
          <w:rFonts w:cs="Arial"/>
          <w:i/>
          <w:noProof/>
        </w:rPr>
        <w:t>Réseau international de production</w:t>
      </w:r>
      <w:r w:rsidRPr="00CF335F">
        <w:rPr>
          <w:rFonts w:cs="Arial"/>
          <w:noProof/>
        </w:rPr>
        <w:t> ».</w:t>
      </w:r>
    </w:p>
    <w:p w:rsidR="00CF335F" w:rsidRPr="00CF335F" w:rsidRDefault="00CF335F" w:rsidP="00CF335F">
      <w:pPr>
        <w:spacing w:after="0" w:line="240" w:lineRule="auto"/>
        <w:ind w:left="142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Default="00CF335F" w:rsidP="00CF335F">
      <w:pPr>
        <w:spacing w:after="0" w:line="240" w:lineRule="auto"/>
        <w:ind w:left="142"/>
        <w:rPr>
          <w:rFonts w:cs="Arial"/>
          <w:lang w:eastAsia="en-US"/>
        </w:rPr>
      </w:pPr>
      <w:r w:rsidRPr="00CF335F">
        <w:rPr>
          <w:rFonts w:cs="Arial"/>
          <w:lang w:eastAsia="en-US"/>
        </w:rPr>
        <w:t>2. Citez deux espaces productifs majeurs.</w:t>
      </w:r>
    </w:p>
    <w:p w:rsidR="00CF335F" w:rsidRPr="00CF335F" w:rsidRDefault="00CF335F" w:rsidP="00CF335F">
      <w:pPr>
        <w:spacing w:after="0" w:line="240" w:lineRule="auto"/>
        <w:ind w:left="142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142"/>
        <w:rPr>
          <w:rFonts w:cs="Arial"/>
          <w:lang w:eastAsia="en-US"/>
        </w:rPr>
      </w:pPr>
      <w:r w:rsidRPr="00CF335F">
        <w:rPr>
          <w:rFonts w:cs="Arial"/>
          <w:lang w:eastAsia="en-US"/>
        </w:rPr>
        <w:t>3. Sur le planisphère, localisez et nommez :</w:t>
      </w:r>
    </w:p>
    <w:p w:rsidR="00CF335F" w:rsidRPr="00CF335F" w:rsidRDefault="00CF335F" w:rsidP="00CF335F">
      <w:pPr>
        <w:numPr>
          <w:ilvl w:val="0"/>
          <w:numId w:val="2"/>
        </w:numPr>
        <w:spacing w:after="0" w:line="240" w:lineRule="auto"/>
        <w:rPr>
          <w:rFonts w:eastAsia="Arial Unicode MS" w:cs="Arial"/>
          <w:u w:color="000000"/>
          <w:lang w:eastAsia="zh-CN" w:bidi="hi-IN"/>
        </w:rPr>
      </w:pPr>
      <w:proofErr w:type="gramStart"/>
      <w:r w:rsidRPr="00CF335F">
        <w:rPr>
          <w:rFonts w:eastAsia="Arial Unicode MS" w:cs="Arial"/>
          <w:u w:color="000000"/>
          <w:lang w:eastAsia="zh-CN" w:bidi="hi-IN"/>
        </w:rPr>
        <w:t>deux</w:t>
      </w:r>
      <w:proofErr w:type="gramEnd"/>
      <w:r w:rsidRPr="00CF335F">
        <w:rPr>
          <w:rFonts w:eastAsia="Arial Unicode MS" w:cs="Arial"/>
          <w:u w:color="000000"/>
          <w:lang w:eastAsia="zh-CN" w:bidi="hi-IN"/>
        </w:rPr>
        <w:t xml:space="preserve"> grands ports.</w:t>
      </w:r>
    </w:p>
    <w:p w:rsidR="00CF335F" w:rsidRPr="00CF335F" w:rsidRDefault="00CF335F" w:rsidP="00CF335F">
      <w:pPr>
        <w:numPr>
          <w:ilvl w:val="0"/>
          <w:numId w:val="2"/>
        </w:numPr>
        <w:spacing w:after="0" w:line="240" w:lineRule="auto"/>
        <w:rPr>
          <w:rFonts w:eastAsia="Arial Unicode MS" w:cs="Arial"/>
          <w:u w:color="000000"/>
          <w:lang w:eastAsia="zh-CN" w:bidi="hi-IN"/>
        </w:rPr>
      </w:pPr>
      <w:proofErr w:type="gramStart"/>
      <w:r w:rsidRPr="00CF335F">
        <w:rPr>
          <w:rFonts w:eastAsia="Arial Unicode MS" w:cs="Arial"/>
          <w:u w:color="000000"/>
          <w:lang w:eastAsia="zh-CN" w:bidi="hi-IN"/>
        </w:rPr>
        <w:t>deux</w:t>
      </w:r>
      <w:proofErr w:type="gramEnd"/>
      <w:r w:rsidRPr="00CF335F">
        <w:rPr>
          <w:rFonts w:eastAsia="Arial Unicode MS" w:cs="Arial"/>
          <w:u w:color="000000"/>
          <w:lang w:eastAsia="zh-CN" w:bidi="hi-IN"/>
        </w:rPr>
        <w:t xml:space="preserve"> métropoles qui sont d’importants espaces productifs.</w:t>
      </w:r>
    </w:p>
    <w:p w:rsid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proofErr w:type="gramStart"/>
      <w:r w:rsidRPr="00CF335F">
        <w:rPr>
          <w:rFonts w:cs="Arial"/>
          <w:lang w:eastAsia="en-US"/>
        </w:rPr>
        <w:t>Complétez les</w:t>
      </w:r>
      <w:proofErr w:type="gramEnd"/>
      <w:r w:rsidRPr="00CF335F">
        <w:rPr>
          <w:rFonts w:cs="Arial"/>
          <w:lang w:eastAsia="en-US"/>
        </w:rPr>
        <w:t xml:space="preserve"> figurés dans la légende.</w:t>
      </w:r>
    </w:p>
    <w:p w:rsid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Default="00CF335F" w:rsidP="00CF335F">
      <w:pPr>
        <w:spacing w:after="0" w:line="240" w:lineRule="auto"/>
        <w:ind w:left="142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4. À quelles difficultés la première République </w:t>
      </w:r>
      <w:proofErr w:type="spellStart"/>
      <w:r w:rsidRPr="00CF335F">
        <w:rPr>
          <w:rFonts w:cs="Arial"/>
          <w:lang w:eastAsia="en-US"/>
        </w:rPr>
        <w:t>doit-elle</w:t>
      </w:r>
      <w:proofErr w:type="spellEnd"/>
      <w:r w:rsidRPr="00CF335F">
        <w:rPr>
          <w:rFonts w:cs="Arial"/>
          <w:lang w:eastAsia="en-US"/>
        </w:rPr>
        <w:t xml:space="preserve"> faire face ?</w:t>
      </w:r>
    </w:p>
    <w:p w:rsidR="00CF335F" w:rsidRPr="00CF335F" w:rsidRDefault="00CF335F" w:rsidP="00CF335F">
      <w:pPr>
        <w:spacing w:after="0" w:line="240" w:lineRule="auto"/>
        <w:ind w:left="142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142"/>
        <w:rPr>
          <w:rFonts w:cs="Arial"/>
          <w:lang w:eastAsia="en-US"/>
        </w:rPr>
      </w:pPr>
      <w:r w:rsidRPr="00CF335F">
        <w:rPr>
          <w:rFonts w:cs="Arial"/>
          <w:lang w:eastAsia="en-US"/>
        </w:rPr>
        <w:t>5. Citez deux principes révolutionnaires qui se diffusent en Europe à partir de 1804.</w:t>
      </w:r>
    </w:p>
    <w:p w:rsidR="00CF335F" w:rsidRDefault="00CF335F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tbl>
      <w:tblPr>
        <w:tblStyle w:val="Grilledutableau1"/>
        <w:tblW w:w="9924" w:type="dxa"/>
        <w:tblInd w:w="-431" w:type="dxa"/>
        <w:tblLook w:val="04A0" w:firstRow="1" w:lastRow="0" w:firstColumn="1" w:lastColumn="0" w:noHBand="0" w:noVBand="1"/>
      </w:tblPr>
      <w:tblGrid>
        <w:gridCol w:w="9966"/>
      </w:tblGrid>
      <w:tr w:rsidR="00CF335F" w:rsidRPr="00CF335F" w:rsidTr="00CE7654">
        <w:tc>
          <w:tcPr>
            <w:tcW w:w="9924" w:type="dxa"/>
          </w:tcPr>
          <w:p w:rsidR="00CF335F" w:rsidRPr="00CF335F" w:rsidRDefault="00CF335F" w:rsidP="00CF335F">
            <w:pPr>
              <w:spacing w:after="0" w:line="240" w:lineRule="auto"/>
              <w:ind w:left="0"/>
              <w:rPr>
                <w:rFonts w:cs="Arial"/>
              </w:rPr>
            </w:pPr>
            <w:r w:rsidRPr="00CF335F">
              <w:rPr>
                <w:rFonts w:cs="Arial"/>
                <w:noProof/>
              </w:rPr>
              <w:drawing>
                <wp:inline distT="0" distB="0" distL="0" distR="0" wp14:anchorId="72E95657" wp14:editId="7CA239F1">
                  <wp:extent cx="6186115" cy="4137041"/>
                  <wp:effectExtent l="0" t="0" r="571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907" cy="4145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F" w:rsidRPr="00CF335F" w:rsidTr="00CE7654">
        <w:tc>
          <w:tcPr>
            <w:tcW w:w="9924" w:type="dxa"/>
          </w:tcPr>
          <w:p w:rsidR="00CF335F" w:rsidRPr="00CF335F" w:rsidRDefault="00CF335F" w:rsidP="00CF335F">
            <w:pPr>
              <w:spacing w:after="0" w:line="240" w:lineRule="auto"/>
              <w:ind w:left="0"/>
              <w:rPr>
                <w:rFonts w:cs="Arial"/>
              </w:rPr>
            </w:pPr>
          </w:p>
          <w:p w:rsidR="00CF335F" w:rsidRPr="00CF335F" w:rsidRDefault="00CF335F" w:rsidP="00CF335F">
            <w:pPr>
              <w:spacing w:after="0" w:line="240" w:lineRule="auto"/>
              <w:ind w:left="0"/>
              <w:rPr>
                <w:rFonts w:cs="Arial"/>
              </w:rPr>
            </w:pPr>
            <w:r w:rsidRPr="00CF335F">
              <w:rPr>
                <w:rFonts w:cs="Arial"/>
              </w:rPr>
              <w:t xml:space="preserve">          Grand port</w:t>
            </w:r>
          </w:p>
          <w:p w:rsidR="00CF335F" w:rsidRPr="00CF335F" w:rsidRDefault="00CF335F" w:rsidP="00CF335F">
            <w:pPr>
              <w:spacing w:after="0" w:line="240" w:lineRule="auto"/>
              <w:ind w:left="0"/>
              <w:rPr>
                <w:rFonts w:cs="Arial"/>
              </w:rPr>
            </w:pPr>
          </w:p>
          <w:p w:rsidR="00CF335F" w:rsidRPr="00CF335F" w:rsidRDefault="00CF335F" w:rsidP="00CF335F">
            <w:pPr>
              <w:spacing w:after="0" w:line="240" w:lineRule="auto"/>
              <w:ind w:left="0"/>
              <w:rPr>
                <w:rFonts w:cs="Arial"/>
              </w:rPr>
            </w:pPr>
            <w:r w:rsidRPr="00CF335F">
              <w:rPr>
                <w:rFonts w:cs="Arial"/>
              </w:rPr>
              <w:t xml:space="preserve">          Métropole qui est un important espace productif</w:t>
            </w:r>
          </w:p>
          <w:p w:rsidR="00CF335F" w:rsidRPr="00CF335F" w:rsidRDefault="00CF335F" w:rsidP="00CF335F">
            <w:pPr>
              <w:spacing w:after="0" w:line="240" w:lineRule="auto"/>
              <w:ind w:left="0"/>
              <w:rPr>
                <w:rFonts w:cs="Arial"/>
              </w:rPr>
            </w:pPr>
          </w:p>
        </w:tc>
      </w:tr>
    </w:tbl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contextualSpacing/>
        <w:jc w:val="center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F335F">
        <w:rPr>
          <w:rFonts w:cs="Arial"/>
          <w:b/>
          <w:bCs/>
          <w:lang w:eastAsia="en-US"/>
        </w:rPr>
        <w:br w:type="page"/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F335F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CF335F" w:rsidRPr="00CF335F" w:rsidRDefault="00CF335F" w:rsidP="00CF33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Cs/>
          <w:lang w:eastAsia="en-US"/>
        </w:rPr>
      </w:pPr>
      <w:r w:rsidRPr="00CF335F">
        <w:rPr>
          <w:rFonts w:cs="Arial"/>
          <w:bCs/>
          <w:lang w:eastAsia="en-US"/>
        </w:rPr>
        <w:t xml:space="preserve">Le candidat choisit l’un des deux sujets. 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CF335F">
        <w:rPr>
          <w:rFonts w:cs="Arial"/>
          <w:b/>
          <w:bCs/>
          <w:lang w:eastAsia="en-US"/>
        </w:rPr>
        <w:t>Sujet d’étude : Les établissements Schneider au Creusot sous la Deuxième République et le Second Empire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u w:val="single"/>
          <w:lang w:eastAsia="en-US"/>
        </w:rPr>
        <w:t>Document 1 :</w:t>
      </w:r>
      <w:r w:rsidRPr="00CF335F">
        <w:rPr>
          <w:rFonts w:cs="Arial"/>
          <w:lang w:eastAsia="en-US"/>
        </w:rPr>
        <w:t xml:space="preserve"> Le centenaire de Schneider.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« Le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CF335F">
        <w:rPr>
          <w:rFonts w:cs="Arial"/>
          <w:lang w:eastAsia="en-US"/>
        </w:rPr>
        <w:t>Burdy</w:t>
      </w:r>
      <w:proofErr w:type="spellEnd"/>
      <w:r w:rsidRPr="00CF335F">
        <w:rPr>
          <w:rFonts w:cs="Arial"/>
          <w:lang w:eastAsia="en-US"/>
        </w:rPr>
        <w:t xml:space="preserve">, a prononcé, à cette occasion, un discours dont nous donnons ci-après l’analyse : 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En termes émus et sincères, il affirme les sentiments de reconnaissance et de profond attachement pour la famille Schneider, qui sont nés de l’étroite union de la ville et de l’usine.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Cette union, la population tout entière la manifeste en ce jour avec un caractère saisissant d’unanimité pour célébrer la fête de son fondateur.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Les bienfaits d’Eugène Schneider ont été continués par son fils Henri Schneider qui, pendant plus de vingt ans, a donné une nouvelle impulsion au développement simultané de la grande industrie et de la ville du Creusot.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Dans la réponse qu’il a faite, M. Schneider a dit notamment :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lastRenderedPageBreak/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u w:val="single"/>
          <w:lang w:eastAsia="en-US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 w:rsidRPr="00CF335F">
        <w:rPr>
          <w:rFonts w:cs="Arial"/>
          <w:lang w:eastAsia="en-US"/>
        </w:rPr>
        <w:t> ».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color w:val="000000"/>
          <w:lang w:eastAsia="en-US"/>
        </w:rPr>
        <w:t>Source :</w:t>
      </w:r>
      <w:r w:rsidRPr="00CF335F">
        <w:rPr>
          <w:rFonts w:cs="Arial"/>
          <w:i/>
          <w:color w:val="000000"/>
          <w:lang w:eastAsia="en-US"/>
        </w:rPr>
        <w:t xml:space="preserve"> Le</w:t>
      </w:r>
      <w:r w:rsidRPr="00CF335F">
        <w:rPr>
          <w:rFonts w:cs="Arial"/>
          <w:i/>
          <w:lang w:eastAsia="en-US"/>
        </w:rPr>
        <w:t xml:space="preserve"> Génie français et l’Ingénieur civil réunis : journal des ingénieurs, des constructeurs-mécaniciens et fondeurs etc.</w:t>
      </w:r>
      <w:r w:rsidRPr="00CF335F">
        <w:rPr>
          <w:rFonts w:cs="Arial"/>
          <w:lang w:eastAsia="en-US"/>
        </w:rPr>
        <w:t xml:space="preserve">, XIIIe année, n° 13, 1 juillet 1905, p. 9. 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u w:val="single"/>
          <w:lang w:eastAsia="en-US"/>
        </w:rPr>
        <w:t>Document 2 :</w:t>
      </w:r>
      <w:r w:rsidRPr="00CF335F">
        <w:rPr>
          <w:rFonts w:cs="Arial"/>
          <w:lang w:eastAsia="en-US"/>
        </w:rPr>
        <w:t xml:space="preserve"> la cité Villedieu, au Creusot, à la fin du XIX</w:t>
      </w:r>
      <w:r w:rsidRPr="00CF335F">
        <w:rPr>
          <w:rFonts w:cs="Arial"/>
          <w:vertAlign w:val="superscript"/>
          <w:lang w:eastAsia="en-US"/>
        </w:rPr>
        <w:t>e</w:t>
      </w:r>
      <w:r w:rsidRPr="00CF335F">
        <w:rPr>
          <w:rFonts w:cs="Arial"/>
          <w:lang w:eastAsia="en-US"/>
        </w:rPr>
        <w:t xml:space="preserve"> siècle.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lang w:eastAsia="en-US"/>
        </w:rPr>
        <w:t>La cité Villedieu est construite par l'entreprise Schneider en 1865 pour les ouvriers et leurs familles. L'ensemble regroupe des maisons individuelles de deux pièces avec jardin.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CF335F">
        <w:rPr>
          <w:rFonts w:cs="Arial"/>
          <w:noProof/>
        </w:rPr>
        <w:drawing>
          <wp:inline distT="0" distB="0" distL="0" distR="0" wp14:anchorId="7695D9F1" wp14:editId="6DD6FB71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5F" w:rsidRPr="00CF335F" w:rsidRDefault="00CF335F" w:rsidP="00CF335F">
      <w:pPr>
        <w:spacing w:after="0" w:line="240" w:lineRule="auto"/>
        <w:ind w:left="0"/>
        <w:jc w:val="right"/>
        <w:rPr>
          <w:rFonts w:cs="Arial"/>
          <w:color w:val="000000"/>
          <w:u w:val="single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color w:val="000000"/>
          <w:lang w:eastAsia="en-US"/>
        </w:rPr>
        <w:t>Source : Service</w:t>
      </w:r>
      <w:r w:rsidRPr="00CF335F">
        <w:rPr>
          <w:rFonts w:cs="Arial"/>
          <w:lang w:eastAsia="en-US"/>
        </w:rPr>
        <w:t xml:space="preserve"> éducatif écomusée Le Creusot-Montceau. 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6431EA" w:rsidRDefault="006431EA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lang w:eastAsia="en-US"/>
        </w:rPr>
        <w:lastRenderedPageBreak/>
        <w:t>Questions :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>Décrivez les logements des ouvriers au Creusot (document 2).</w:t>
      </w:r>
    </w:p>
    <w:p w:rsidR="00CF335F" w:rsidRPr="00CF335F" w:rsidRDefault="00CF335F" w:rsidP="00CF335F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>Montrez que les Schneider veillent au bien-être matériel et moral de leurs ouvriers (documents 1 et 2).</w:t>
      </w:r>
    </w:p>
    <w:p w:rsidR="00CF335F" w:rsidRPr="00CF335F" w:rsidRDefault="00CF335F" w:rsidP="00CF335F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>Précisez le regard que portent les ouvriers et employés du Creusot sur leur patron (document 1).</w:t>
      </w:r>
    </w:p>
    <w:p w:rsidR="00CF335F" w:rsidRPr="00CF335F" w:rsidRDefault="00CF335F" w:rsidP="00CF335F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Expliquez la phrase soulignée dans le document 1. </w:t>
      </w:r>
    </w:p>
    <w:p w:rsidR="00CF335F" w:rsidRPr="00CF335F" w:rsidRDefault="00CF335F" w:rsidP="00CF335F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>Eugène Schneider joua un rôle économique, social et politique sur toute la ville et au-delà. Justifiez cette affirmation.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CF335F">
        <w:rPr>
          <w:rFonts w:cs="Arial"/>
          <w:b/>
          <w:lang w:eastAsia="en-US"/>
        </w:rPr>
        <w:br w:type="page"/>
      </w:r>
      <w:r w:rsidRPr="00CF335F">
        <w:rPr>
          <w:rFonts w:cs="Arial"/>
          <w:b/>
          <w:lang w:eastAsia="en-US"/>
        </w:rPr>
        <w:lastRenderedPageBreak/>
        <w:t>Sujet d’étude : Victor Hugo sous la Deuxième République et le Second Empire.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u w:val="single"/>
          <w:lang w:eastAsia="en-US"/>
        </w:rPr>
        <w:t>Document 1 :</w:t>
      </w:r>
      <w:r w:rsidRPr="00CF335F">
        <w:rPr>
          <w:rFonts w:cs="Arial"/>
          <w:lang w:eastAsia="en-US"/>
        </w:rPr>
        <w:t xml:space="preserve"> Victor Hugo relate la journée du 24 février 1848.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b/>
          <w:u w:val="single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lang w:eastAsia="en-US"/>
        </w:rPr>
        <w:t>« 24 février 1848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CF335F">
        <w:rPr>
          <w:rFonts w:cs="Arial"/>
          <w:lang w:eastAsia="en-US"/>
        </w:rPr>
        <w:t>Launaye</w:t>
      </w:r>
      <w:proofErr w:type="spellEnd"/>
      <w:r w:rsidRPr="00CF335F">
        <w:rPr>
          <w:rFonts w:cs="Arial"/>
          <w:lang w:eastAsia="en-US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Là s’agitait une foule ardente, où les ouvriers dominaient. Beaucoup armés de fusils pris aux casernes ou livrés par les soldats. […]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Quand j’annonçai la Régence de la duchesse d’Orléans, ce furent de violentes dénégations : « Non ! Non ! Pas de Régence ! A bas les Bourbons ! Ni roi ni reine ! Pas de maîtres ! » je répétai : « Pas de maîtres ! Je n’en veux pas plus que vous, j’ai défendu toute ma vie la liberté ! » 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[…]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Un homme en blouse cria : « Silence au pair de France</w:t>
      </w:r>
      <w:r w:rsidRPr="00CF335F">
        <w:rPr>
          <w:rFonts w:cs="Arial"/>
          <w:vertAlign w:val="superscript"/>
          <w:lang w:eastAsia="en-US"/>
        </w:rPr>
        <w:t>1</w:t>
      </w:r>
      <w:r w:rsidRPr="00CF335F">
        <w:rPr>
          <w:rFonts w:cs="Arial"/>
          <w:lang w:eastAsia="en-US"/>
        </w:rPr>
        <w:t> ! A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Note : </w:t>
      </w:r>
    </w:p>
    <w:p w:rsidR="00CF335F" w:rsidRPr="00CF335F" w:rsidRDefault="00CF335F" w:rsidP="00CF335F">
      <w:pPr>
        <w:numPr>
          <w:ilvl w:val="0"/>
          <w:numId w:val="4"/>
        </w:numPr>
        <w:spacing w:after="0" w:line="240" w:lineRule="auto"/>
        <w:jc w:val="both"/>
        <w:rPr>
          <w:rFonts w:cs="Arial"/>
          <w:sz w:val="21"/>
          <w:lang w:eastAsia="en-US"/>
        </w:rPr>
      </w:pPr>
      <w:r w:rsidRPr="00CF335F">
        <w:rPr>
          <w:rFonts w:cs="Arial"/>
          <w:sz w:val="21"/>
          <w:lang w:eastAsia="en-US"/>
        </w:rPr>
        <w:t>Pair de France : titre pour ceux qui font partir de la Chambre des pairs, chambre</w:t>
      </w:r>
      <w:r w:rsidRPr="00CF335F">
        <w:rPr>
          <w:rFonts w:cs="Arial"/>
          <w:strike/>
          <w:sz w:val="21"/>
          <w:lang w:eastAsia="en-US"/>
        </w:rPr>
        <w:t xml:space="preserve"> </w:t>
      </w:r>
      <w:r w:rsidRPr="00CF335F">
        <w:rPr>
          <w:rFonts w:cs="Arial"/>
          <w:sz w:val="21"/>
          <w:lang w:eastAsia="en-US"/>
        </w:rPr>
        <w:t>du Parlement de 1814 à 1848. Hugo est nommé pair de France par le roi en 1845.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Source : Victor Hugo, </w:t>
      </w:r>
      <w:r w:rsidRPr="00CF335F">
        <w:rPr>
          <w:rFonts w:cs="Arial"/>
          <w:i/>
          <w:lang w:eastAsia="en-US"/>
        </w:rPr>
        <w:t>Choses Vues. Souvenirs, journaux, cahiers. 1830-1848</w:t>
      </w:r>
      <w:r w:rsidRPr="00CF335F">
        <w:rPr>
          <w:rFonts w:cs="Arial"/>
          <w:lang w:eastAsia="en-US"/>
        </w:rPr>
        <w:t xml:space="preserve">, Gallimard, 1972, p 629-631. 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u w:val="single"/>
          <w:lang w:eastAsia="en-US"/>
        </w:rPr>
        <w:t>Document 2 :</w:t>
      </w:r>
      <w:r w:rsidRPr="00CF335F">
        <w:rPr>
          <w:rFonts w:cs="Arial"/>
          <w:b/>
          <w:lang w:eastAsia="en-US"/>
        </w:rPr>
        <w:t xml:space="preserve"> </w:t>
      </w:r>
      <w:r w:rsidRPr="00CF335F">
        <w:rPr>
          <w:rFonts w:cs="Arial"/>
          <w:lang w:eastAsia="en-US"/>
        </w:rPr>
        <w:t xml:space="preserve">Hugo, en exil en Belgique puis à Jersey. 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 […]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« Jersey, octobre 1852.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>Que M. Bonaparte se le dise bien, il n’aura pas raison de nous. Qu’il multiplie les obstacles, qu’il entoure son empire de lois Faider</w:t>
      </w:r>
      <w:r w:rsidRPr="00CF335F">
        <w:rPr>
          <w:rFonts w:cs="Arial"/>
          <w:vertAlign w:val="superscript"/>
          <w:lang w:eastAsia="en-US"/>
        </w:rPr>
        <w:t>1</w:t>
      </w:r>
      <w:r w:rsidRPr="00CF335F">
        <w:rPr>
          <w:rFonts w:cs="Arial"/>
          <w:lang w:eastAsia="en-US"/>
        </w:rPr>
        <w:t xml:space="preserve">, qu’il nous fasse traquer en Belgique, en Suisse, en Espagne, en Piémont, nous renaîtrons sous la persécution et </w:t>
      </w:r>
      <w:r w:rsidRPr="00CF335F">
        <w:rPr>
          <w:rFonts w:cs="Arial"/>
          <w:lang w:eastAsia="en-US"/>
        </w:rPr>
        <w:lastRenderedPageBreak/>
        <w:t xml:space="preserve">nous nous multiplierons comme l’obstacle. A quiconque voudrait nous imposer ou nous demander trêve pour cet homme, nous répondrons : </w:t>
      </w:r>
      <w:r w:rsidRPr="00CF335F">
        <w:rPr>
          <w:rFonts w:cs="Arial"/>
          <w:i/>
          <w:lang w:eastAsia="en-US"/>
        </w:rPr>
        <w:t>non possumus</w:t>
      </w:r>
      <w:r w:rsidRPr="00CF335F">
        <w:rPr>
          <w:rFonts w:cs="Arial"/>
          <w:i/>
          <w:vertAlign w:val="superscript"/>
          <w:lang w:eastAsia="en-US"/>
        </w:rPr>
        <w:t>2</w:t>
      </w:r>
      <w:r w:rsidRPr="00CF335F">
        <w:rPr>
          <w:rFonts w:cs="Arial"/>
          <w:lang w:eastAsia="en-US"/>
        </w:rPr>
        <w:t>. Nous républicains, nous proscrits</w:t>
      </w:r>
      <w:r w:rsidRPr="00CF335F">
        <w:rPr>
          <w:rFonts w:cs="Arial"/>
          <w:vertAlign w:val="superscript"/>
          <w:lang w:eastAsia="en-US"/>
        </w:rPr>
        <w:t>3</w:t>
      </w:r>
      <w:r w:rsidRPr="00CF335F">
        <w:rPr>
          <w:rFonts w:cs="Arial"/>
          <w:lang w:eastAsia="en-US"/>
        </w:rPr>
        <w:t xml:space="preserve">, nous sommes le devoir vivant. Que M. Bonaparte en prenne son parti, </w:t>
      </w:r>
      <w:r w:rsidRPr="00CF335F">
        <w:rPr>
          <w:rFonts w:cs="Arial"/>
          <w:u w:val="single"/>
          <w:lang w:eastAsia="en-US"/>
        </w:rPr>
        <w:t>nous lui avons fait la guerre dans la rue</w:t>
      </w:r>
      <w:r w:rsidRPr="00CF335F">
        <w:rPr>
          <w:rFonts w:cs="Arial"/>
          <w:lang w:eastAsia="en-US"/>
        </w:rPr>
        <w:t xml:space="preserve">, nous lui ferons la guerre dans les catacombes. Tant que nous avons pu être au grand jour, nous l’avons combattu au grand jour ; maintenant nous sommes dans la nuit, nous combattrons dans la nuit. » </w:t>
      </w: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Notes : </w:t>
      </w:r>
    </w:p>
    <w:p w:rsidR="00CF335F" w:rsidRPr="00CF335F" w:rsidRDefault="00CF335F" w:rsidP="00CF335F">
      <w:pPr>
        <w:numPr>
          <w:ilvl w:val="0"/>
          <w:numId w:val="5"/>
        </w:numPr>
        <w:spacing w:after="0" w:line="240" w:lineRule="auto"/>
        <w:rPr>
          <w:rFonts w:cs="Arial"/>
          <w:sz w:val="21"/>
          <w:lang w:eastAsia="en-US"/>
        </w:rPr>
      </w:pPr>
      <w:r w:rsidRPr="00CF335F">
        <w:rPr>
          <w:rFonts w:cs="Arial"/>
          <w:sz w:val="21"/>
          <w:lang w:eastAsia="en-US"/>
        </w:rPr>
        <w:t xml:space="preserve">Loi </w:t>
      </w:r>
      <w:proofErr w:type="spellStart"/>
      <w:r w:rsidRPr="00CF335F">
        <w:rPr>
          <w:rFonts w:cs="Arial"/>
          <w:sz w:val="21"/>
          <w:lang w:eastAsia="en-US"/>
        </w:rPr>
        <w:t>Faider</w:t>
      </w:r>
      <w:proofErr w:type="spellEnd"/>
      <w:r w:rsidRPr="00CF335F">
        <w:rPr>
          <w:rFonts w:cs="Arial"/>
          <w:sz w:val="21"/>
          <w:lang w:eastAsia="en-US"/>
        </w:rPr>
        <w:t> : loi qui, selon Victor Hugo, aurait favorisé son expulsion de Belgique.</w:t>
      </w:r>
    </w:p>
    <w:p w:rsidR="00CF335F" w:rsidRPr="00CF335F" w:rsidRDefault="00CF335F" w:rsidP="00CF335F">
      <w:pPr>
        <w:numPr>
          <w:ilvl w:val="0"/>
          <w:numId w:val="5"/>
        </w:numPr>
        <w:spacing w:after="0" w:line="240" w:lineRule="auto"/>
        <w:rPr>
          <w:rFonts w:cs="Arial"/>
          <w:sz w:val="21"/>
          <w:lang w:eastAsia="en-US"/>
        </w:rPr>
      </w:pPr>
      <w:r w:rsidRPr="00CF335F">
        <w:rPr>
          <w:rFonts w:cs="Arial"/>
          <w:i/>
          <w:sz w:val="21"/>
          <w:lang w:eastAsia="en-US"/>
        </w:rPr>
        <w:t xml:space="preserve">Non </w:t>
      </w:r>
      <w:proofErr w:type="spellStart"/>
      <w:r w:rsidRPr="00CF335F">
        <w:rPr>
          <w:rFonts w:cs="Arial"/>
          <w:i/>
          <w:sz w:val="21"/>
          <w:lang w:eastAsia="en-US"/>
        </w:rPr>
        <w:t>possumus</w:t>
      </w:r>
      <w:proofErr w:type="spellEnd"/>
      <w:r w:rsidRPr="00CF335F">
        <w:rPr>
          <w:rFonts w:cs="Arial"/>
          <w:sz w:val="21"/>
          <w:lang w:eastAsia="en-US"/>
        </w:rPr>
        <w:t> : locution latine signifiant un refus catégorique.</w:t>
      </w:r>
    </w:p>
    <w:p w:rsidR="00CF335F" w:rsidRPr="00CF335F" w:rsidRDefault="00CF335F" w:rsidP="00CF335F">
      <w:pPr>
        <w:numPr>
          <w:ilvl w:val="0"/>
          <w:numId w:val="5"/>
        </w:numPr>
        <w:spacing w:after="0" w:line="240" w:lineRule="auto"/>
        <w:rPr>
          <w:rFonts w:cs="Arial"/>
          <w:sz w:val="21"/>
          <w:lang w:eastAsia="en-US"/>
        </w:rPr>
      </w:pPr>
      <w:r w:rsidRPr="00CF335F">
        <w:rPr>
          <w:rFonts w:cs="Arial"/>
          <w:sz w:val="21"/>
          <w:lang w:eastAsia="en-US"/>
        </w:rPr>
        <w:t xml:space="preserve">Proscrit : qui est exilé. 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Source : Victor Hugo, </w:t>
      </w:r>
      <w:r w:rsidRPr="00CF335F">
        <w:rPr>
          <w:rFonts w:cs="Arial"/>
          <w:i/>
          <w:lang w:eastAsia="en-US"/>
        </w:rPr>
        <w:t>Choses Vues. Souvenirs, journaux, cahiers. 1849-1870</w:t>
      </w:r>
      <w:r w:rsidRPr="00CF335F">
        <w:rPr>
          <w:rFonts w:cs="Arial"/>
          <w:lang w:eastAsia="en-US"/>
        </w:rPr>
        <w:t>, Gallimard, 1972, p 276 et 287.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  <w:r w:rsidRPr="00CF335F">
        <w:rPr>
          <w:rFonts w:cs="Arial"/>
          <w:b/>
          <w:u w:val="single"/>
          <w:lang w:eastAsia="en-US"/>
        </w:rPr>
        <w:t>Questions</w:t>
      </w:r>
      <w:r w:rsidRPr="00CF335F">
        <w:rPr>
          <w:rFonts w:cs="Arial"/>
          <w:lang w:eastAsia="en-US"/>
        </w:rPr>
        <w:t xml:space="preserve"> : 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lang w:eastAsia="en-US"/>
        </w:rPr>
      </w:pPr>
    </w:p>
    <w:p w:rsidR="00CF335F" w:rsidRPr="00CF335F" w:rsidRDefault="00CF335F" w:rsidP="00CF335F">
      <w:pPr>
        <w:numPr>
          <w:ilvl w:val="0"/>
          <w:numId w:val="6"/>
        </w:numPr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Présentez le contexte historique dans lequel est écrit le document 1.  </w:t>
      </w:r>
    </w:p>
    <w:p w:rsidR="00CF335F" w:rsidRPr="00CF335F" w:rsidRDefault="00CF335F" w:rsidP="00CF335F">
      <w:pPr>
        <w:numPr>
          <w:ilvl w:val="0"/>
          <w:numId w:val="6"/>
        </w:numPr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Définissez le régime politique que soutient Victor Hugo dans le document 1. </w:t>
      </w:r>
    </w:p>
    <w:p w:rsidR="00CF335F" w:rsidRPr="00CF335F" w:rsidRDefault="00CF335F" w:rsidP="00CF335F">
      <w:pPr>
        <w:numPr>
          <w:ilvl w:val="0"/>
          <w:numId w:val="6"/>
        </w:numPr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>Montrez que l’opinion de Victor Hugo a changé entre 1848 et 1852 (documents 1 et 2).</w:t>
      </w:r>
    </w:p>
    <w:p w:rsidR="00CF335F" w:rsidRPr="00CF335F" w:rsidRDefault="00CF335F" w:rsidP="00CF335F">
      <w:pPr>
        <w:numPr>
          <w:ilvl w:val="0"/>
          <w:numId w:val="6"/>
        </w:numPr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 xml:space="preserve">Expliquez la phrase soulignée (document 2). </w:t>
      </w:r>
    </w:p>
    <w:p w:rsidR="00CF335F" w:rsidRPr="00CF335F" w:rsidRDefault="00CF335F" w:rsidP="00CF335F">
      <w:pPr>
        <w:numPr>
          <w:ilvl w:val="0"/>
          <w:numId w:val="6"/>
        </w:numPr>
        <w:spacing w:after="0" w:line="240" w:lineRule="auto"/>
        <w:rPr>
          <w:rFonts w:cs="Arial"/>
          <w:lang w:eastAsia="en-US"/>
        </w:rPr>
      </w:pPr>
      <w:r w:rsidRPr="00CF335F">
        <w:rPr>
          <w:rFonts w:cs="Arial"/>
          <w:lang w:eastAsia="en-US"/>
        </w:rPr>
        <w:t>Montrez pourquoi Victor Hugo est devenu une des références majeures des républicains.</w:t>
      </w:r>
    </w:p>
    <w:p w:rsidR="00CF335F" w:rsidRPr="00CF335F" w:rsidRDefault="00CF335F" w:rsidP="00CF335F">
      <w:pPr>
        <w:spacing w:after="0" w:line="240" w:lineRule="auto"/>
        <w:ind w:left="0"/>
        <w:rPr>
          <w:rFonts w:cs="Arial"/>
          <w:strike/>
          <w:szCs w:val="22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F335F" w:rsidRPr="00CF335F" w:rsidRDefault="00CF335F" w:rsidP="00CF33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512" w:rsidRDefault="00706512" w:rsidP="0053612B">
      <w:pPr>
        <w:spacing w:after="0" w:line="240" w:lineRule="auto"/>
      </w:pPr>
      <w:r>
        <w:separator/>
      </w:r>
    </w:p>
  </w:endnote>
  <w:endnote w:type="continuationSeparator" w:id="0">
    <w:p w:rsidR="00706512" w:rsidRDefault="00706512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B6815" w:rsidRPr="008B6815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B6815" w:rsidRPr="008B6815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B6815" w:rsidRPr="008B6815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B6815" w:rsidRPr="008B6815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512" w:rsidRDefault="00706512" w:rsidP="0053612B">
      <w:pPr>
        <w:spacing w:after="0" w:line="240" w:lineRule="auto"/>
      </w:pPr>
      <w:r>
        <w:separator/>
      </w:r>
    </w:p>
  </w:footnote>
  <w:footnote w:type="continuationSeparator" w:id="0">
    <w:p w:rsidR="00706512" w:rsidRDefault="00706512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1A0F96"/>
    <w:multiLevelType w:val="hybridMultilevel"/>
    <w:tmpl w:val="2C425DCA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F12FA1"/>
    <w:multiLevelType w:val="hybridMultilevel"/>
    <w:tmpl w:val="D9787CA2"/>
    <w:lvl w:ilvl="0" w:tplc="F7C27438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8F"/>
    <w:rsid w:val="000134A9"/>
    <w:rsid w:val="000508EF"/>
    <w:rsid w:val="0007218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9694D"/>
    <w:rsid w:val="002A68A6"/>
    <w:rsid w:val="002B20A9"/>
    <w:rsid w:val="002E4943"/>
    <w:rsid w:val="00310815"/>
    <w:rsid w:val="003154F6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1EA"/>
    <w:rsid w:val="00643D11"/>
    <w:rsid w:val="00661A80"/>
    <w:rsid w:val="0067731A"/>
    <w:rsid w:val="00680041"/>
    <w:rsid w:val="006A2305"/>
    <w:rsid w:val="006B1682"/>
    <w:rsid w:val="006E1BD8"/>
    <w:rsid w:val="006E390A"/>
    <w:rsid w:val="00706512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B6815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CF335F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39"/>
    <w:rsid w:val="00CF335F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8</Pages>
  <Words>1384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2023-01-26T06:04:00Z</dcterms:created>
  <dcterms:modified xsi:type="dcterms:W3CDTF">2023-01-26T07:21:00Z</dcterms:modified>
</cp:coreProperties>
</file>