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A034E">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44EC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1A034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44EC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1A034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44EC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A034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A034E">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A034E" w:rsidRPr="001A034E" w:rsidRDefault="001A034E" w:rsidP="001A034E">
      <w:pPr>
        <w:spacing w:after="0" w:line="240" w:lineRule="auto"/>
        <w:ind w:left="0"/>
        <w:rPr>
          <w:rFonts w:cs="Arial"/>
          <w:b/>
          <w:bCs/>
          <w:lang w:eastAsia="en-US"/>
        </w:rPr>
      </w:pPr>
      <w:r w:rsidRPr="001A034E">
        <w:rPr>
          <w:rFonts w:cs="Arial"/>
          <w:b/>
          <w:bCs/>
          <w:lang w:eastAsia="en-US"/>
        </w:rPr>
        <w:lastRenderedPageBreak/>
        <w:t>Première partie : questions (sur 10 points)</w:t>
      </w:r>
    </w:p>
    <w:p w:rsidR="001A034E" w:rsidRPr="001A034E" w:rsidRDefault="001A034E" w:rsidP="001A034E">
      <w:pPr>
        <w:spacing w:after="0" w:line="240" w:lineRule="auto"/>
        <w:ind w:left="0"/>
        <w:rPr>
          <w:rFonts w:ascii="Calibri" w:hAnsi="Calibri"/>
          <w:lang w:eastAsia="en-US"/>
        </w:rPr>
      </w:pPr>
    </w:p>
    <w:p w:rsidR="001A034E" w:rsidRDefault="001A034E" w:rsidP="001A034E">
      <w:pPr>
        <w:spacing w:after="0" w:line="240" w:lineRule="auto"/>
        <w:ind w:left="357"/>
        <w:rPr>
          <w:rFonts w:cs="Arial"/>
          <w:bCs/>
          <w:lang w:eastAsia="en-US"/>
        </w:rPr>
      </w:pPr>
      <w:r w:rsidRPr="001A034E">
        <w:rPr>
          <w:rFonts w:ascii="Calibri" w:hAnsi="Calibri"/>
          <w:lang w:eastAsia="en-US"/>
        </w:rPr>
        <w:t xml:space="preserve"> </w:t>
      </w:r>
      <w:r w:rsidRPr="001A034E">
        <w:rPr>
          <w:rFonts w:cs="Arial"/>
          <w:bCs/>
          <w:lang w:eastAsia="en-US"/>
        </w:rPr>
        <w:t>1. Citez deux avancées sociales obtenues entre 1848 et 1870.</w:t>
      </w:r>
    </w:p>
    <w:p w:rsidR="001A034E" w:rsidRDefault="001A034E" w:rsidP="001A034E">
      <w:pPr>
        <w:spacing w:after="0" w:line="240" w:lineRule="auto"/>
        <w:ind w:left="357"/>
        <w:rPr>
          <w:rFonts w:cs="Arial"/>
          <w:bCs/>
          <w:lang w:eastAsia="en-US"/>
        </w:rPr>
      </w:pPr>
    </w:p>
    <w:p w:rsidR="001A034E" w:rsidRPr="001A034E" w:rsidRDefault="001A034E" w:rsidP="001A034E">
      <w:pPr>
        <w:spacing w:after="0" w:line="240" w:lineRule="auto"/>
        <w:ind w:left="357"/>
        <w:rPr>
          <w:rFonts w:cs="Arial"/>
          <w:bCs/>
          <w:lang w:eastAsia="en-US"/>
        </w:rPr>
      </w:pPr>
    </w:p>
    <w:p w:rsidR="001A034E" w:rsidRDefault="001A034E" w:rsidP="001A034E">
      <w:pPr>
        <w:spacing w:after="0" w:line="240" w:lineRule="auto"/>
        <w:ind w:left="357"/>
        <w:rPr>
          <w:rFonts w:cs="Arial"/>
          <w:bCs/>
          <w:lang w:eastAsia="en-US"/>
        </w:rPr>
      </w:pPr>
      <w:r w:rsidRPr="001A034E">
        <w:rPr>
          <w:rFonts w:cs="Arial"/>
          <w:bCs/>
          <w:lang w:eastAsia="en-US"/>
        </w:rPr>
        <w:t>2. Justifiez l’affirmation suivante :  les événements de juin 1848 marquent une rupture entre les ouvriers et la République.</w:t>
      </w:r>
    </w:p>
    <w:p w:rsidR="001A034E" w:rsidRDefault="001A034E" w:rsidP="001A034E">
      <w:pPr>
        <w:spacing w:after="0" w:line="240" w:lineRule="auto"/>
        <w:ind w:left="357"/>
        <w:rPr>
          <w:rFonts w:cs="Arial"/>
          <w:bCs/>
          <w:lang w:eastAsia="en-US"/>
        </w:rPr>
      </w:pPr>
    </w:p>
    <w:p w:rsidR="001A034E" w:rsidRPr="001A034E" w:rsidRDefault="001A034E" w:rsidP="001A034E">
      <w:pPr>
        <w:spacing w:after="0" w:line="240" w:lineRule="auto"/>
        <w:ind w:left="357"/>
        <w:rPr>
          <w:rFonts w:cs="Arial"/>
          <w:bCs/>
          <w:lang w:eastAsia="en-US"/>
        </w:rPr>
      </w:pPr>
    </w:p>
    <w:p w:rsidR="001A034E" w:rsidRDefault="001A034E" w:rsidP="001A034E">
      <w:pPr>
        <w:spacing w:after="0" w:line="240" w:lineRule="auto"/>
        <w:ind w:left="357"/>
        <w:rPr>
          <w:rFonts w:cs="Arial"/>
          <w:bCs/>
          <w:lang w:eastAsia="en-US"/>
        </w:rPr>
      </w:pPr>
      <w:r w:rsidRPr="001A034E">
        <w:rPr>
          <w:rFonts w:cs="Arial"/>
          <w:bCs/>
          <w:lang w:eastAsia="en-US"/>
        </w:rPr>
        <w:t>3. Montrez avec deux arguments que les citoyens ont conquis des droits entre 1848 et 1870.</w:t>
      </w:r>
    </w:p>
    <w:p w:rsidR="001A034E" w:rsidRDefault="001A034E" w:rsidP="001A034E">
      <w:pPr>
        <w:spacing w:after="0" w:line="240" w:lineRule="auto"/>
        <w:ind w:left="357"/>
        <w:rPr>
          <w:rFonts w:cs="Arial"/>
          <w:bCs/>
          <w:lang w:eastAsia="en-US"/>
        </w:rPr>
      </w:pPr>
    </w:p>
    <w:p w:rsidR="001A034E" w:rsidRPr="001A034E" w:rsidRDefault="001A034E" w:rsidP="001A034E">
      <w:pPr>
        <w:spacing w:after="0" w:line="240" w:lineRule="auto"/>
        <w:ind w:left="357"/>
        <w:rPr>
          <w:rFonts w:cs="Arial"/>
          <w:bCs/>
          <w:lang w:eastAsia="en-US"/>
        </w:rPr>
      </w:pPr>
    </w:p>
    <w:p w:rsidR="001A034E" w:rsidRDefault="001A034E" w:rsidP="001A034E">
      <w:pPr>
        <w:autoSpaceDE w:val="0"/>
        <w:autoSpaceDN w:val="0"/>
        <w:adjustRightInd w:val="0"/>
        <w:spacing w:after="0" w:line="240" w:lineRule="auto"/>
        <w:ind w:left="360"/>
        <w:rPr>
          <w:rFonts w:cs="Arial"/>
          <w:lang w:eastAsia="en-US"/>
        </w:rPr>
      </w:pPr>
      <w:r w:rsidRPr="001A034E">
        <w:rPr>
          <w:rFonts w:cs="Arial"/>
          <w:lang w:eastAsia="en-US"/>
        </w:rPr>
        <w:t xml:space="preserve">4. En vous appuyant sur un exemple, définissez les flux matériels </w:t>
      </w:r>
      <w:r w:rsidRPr="001A034E">
        <w:rPr>
          <w:rFonts w:cs="Arial"/>
          <w:bCs/>
          <w:lang w:eastAsia="en-US"/>
        </w:rPr>
        <w:t>et</w:t>
      </w:r>
      <w:r w:rsidRPr="001A034E">
        <w:rPr>
          <w:rFonts w:cs="Arial"/>
          <w:lang w:eastAsia="en-US"/>
        </w:rPr>
        <w:t xml:space="preserve"> les flux immatériels.</w:t>
      </w:r>
    </w:p>
    <w:p w:rsidR="001A034E" w:rsidRDefault="001A034E" w:rsidP="001A034E">
      <w:pPr>
        <w:autoSpaceDE w:val="0"/>
        <w:autoSpaceDN w:val="0"/>
        <w:adjustRightInd w:val="0"/>
        <w:spacing w:after="0" w:line="240" w:lineRule="auto"/>
        <w:ind w:left="360"/>
        <w:rPr>
          <w:rFonts w:cs="Arial"/>
          <w:lang w:eastAsia="en-US"/>
        </w:rPr>
      </w:pPr>
    </w:p>
    <w:p w:rsidR="001A034E" w:rsidRPr="001A034E" w:rsidRDefault="001A034E" w:rsidP="001A034E">
      <w:pPr>
        <w:autoSpaceDE w:val="0"/>
        <w:autoSpaceDN w:val="0"/>
        <w:adjustRightInd w:val="0"/>
        <w:spacing w:after="0" w:line="240" w:lineRule="auto"/>
        <w:ind w:left="360"/>
        <w:rPr>
          <w:rFonts w:cs="Arial"/>
          <w:lang w:eastAsia="en-US"/>
        </w:rPr>
      </w:pPr>
    </w:p>
    <w:p w:rsidR="001A034E" w:rsidRPr="001A034E" w:rsidRDefault="001A034E" w:rsidP="001A034E">
      <w:pPr>
        <w:autoSpaceDE w:val="0"/>
        <w:autoSpaceDN w:val="0"/>
        <w:adjustRightInd w:val="0"/>
        <w:spacing w:after="0" w:line="240" w:lineRule="auto"/>
        <w:ind w:left="360"/>
        <w:rPr>
          <w:rFonts w:cs="Arial"/>
          <w:lang w:eastAsia="en-US"/>
        </w:rPr>
      </w:pPr>
      <w:r w:rsidRPr="001A034E">
        <w:rPr>
          <w:rFonts w:cs="Arial"/>
          <w:lang w:eastAsia="en-US"/>
        </w:rPr>
        <w:t>5. Sur le fond de carte, localisez et nommez trois ports principaux et une façade maritime majeure. Complétez la légende</w:t>
      </w:r>
    </w:p>
    <w:p w:rsidR="001A034E" w:rsidRDefault="001A034E">
      <w:pPr>
        <w:spacing w:after="0" w:line="240" w:lineRule="auto"/>
        <w:ind w:left="0"/>
        <w:rPr>
          <w:rFonts w:ascii="Calibri" w:hAnsi="Calibri" w:cs="Calibri"/>
          <w:lang w:eastAsia="en-US"/>
        </w:rPr>
      </w:pPr>
      <w:r>
        <w:rPr>
          <w:rFonts w:ascii="Calibri" w:hAnsi="Calibri" w:cs="Calibri"/>
          <w:lang w:eastAsia="en-US"/>
        </w:rPr>
        <w:br w:type="page"/>
      </w:r>
    </w:p>
    <w:p w:rsidR="001A034E" w:rsidRPr="001A034E" w:rsidRDefault="001A034E" w:rsidP="001A034E">
      <w:pPr>
        <w:autoSpaceDE w:val="0"/>
        <w:autoSpaceDN w:val="0"/>
        <w:adjustRightInd w:val="0"/>
        <w:spacing w:after="0" w:line="240" w:lineRule="auto"/>
        <w:ind w:left="0"/>
        <w:rPr>
          <w:rFonts w:ascii="Calibri" w:hAnsi="Calibri" w:cs="Calibri"/>
          <w:lang w:eastAsia="en-US"/>
        </w:rPr>
      </w:pPr>
    </w:p>
    <w:tbl>
      <w:tblPr>
        <w:tblStyle w:val="Grilledutableau1"/>
        <w:tblW w:w="9498" w:type="dxa"/>
        <w:tblInd w:w="-147" w:type="dxa"/>
        <w:tblLook w:val="04A0" w:firstRow="1" w:lastRow="0" w:firstColumn="1" w:lastColumn="0" w:noHBand="0" w:noVBand="1"/>
      </w:tblPr>
      <w:tblGrid>
        <w:gridCol w:w="9671"/>
      </w:tblGrid>
      <w:tr w:rsidR="001A034E" w:rsidRPr="001A034E" w:rsidTr="000054A5">
        <w:tc>
          <w:tcPr>
            <w:tcW w:w="9498" w:type="dxa"/>
          </w:tcPr>
          <w:p w:rsidR="001A034E" w:rsidRPr="001A034E" w:rsidRDefault="001A034E" w:rsidP="001A034E">
            <w:pPr>
              <w:spacing w:after="0" w:line="240" w:lineRule="auto"/>
              <w:ind w:left="0"/>
              <w:jc w:val="center"/>
              <w:rPr>
                <w:rFonts w:cs="Calibri"/>
              </w:rPr>
            </w:pPr>
            <w:r w:rsidRPr="001A034E">
              <w:rPr>
                <w:rFonts w:cs="Calibri"/>
                <w:noProof/>
              </w:rPr>
              <w:drawing>
                <wp:inline distT="0" distB="0" distL="0" distR="0" wp14:anchorId="5C81FA83" wp14:editId="0174687B">
                  <wp:extent cx="6004238" cy="4015409"/>
                  <wp:effectExtent l="0" t="0" r="0"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1A034E" w:rsidRPr="001A034E" w:rsidTr="000054A5">
        <w:tc>
          <w:tcPr>
            <w:tcW w:w="9498" w:type="dxa"/>
          </w:tcPr>
          <w:p w:rsidR="001A034E" w:rsidRPr="001A034E" w:rsidRDefault="001A034E" w:rsidP="001A034E">
            <w:pPr>
              <w:spacing w:after="0" w:line="240" w:lineRule="auto"/>
              <w:ind w:left="0"/>
              <w:rPr>
                <w:rFonts w:cs="Calibri"/>
              </w:rPr>
            </w:pPr>
          </w:p>
          <w:p w:rsidR="001A034E" w:rsidRPr="001A034E" w:rsidRDefault="001A034E" w:rsidP="001A034E">
            <w:pPr>
              <w:spacing w:after="0" w:line="240" w:lineRule="auto"/>
              <w:ind w:left="0"/>
              <w:rPr>
                <w:rFonts w:cs="Calibri"/>
              </w:rPr>
            </w:pPr>
            <w:r w:rsidRPr="001A034E">
              <w:rPr>
                <w:rFonts w:cs="Calibri"/>
              </w:rPr>
              <w:t xml:space="preserve">             Port principal</w:t>
            </w:r>
          </w:p>
          <w:p w:rsidR="001A034E" w:rsidRPr="001A034E" w:rsidRDefault="001A034E" w:rsidP="001A034E">
            <w:pPr>
              <w:spacing w:after="0" w:line="240" w:lineRule="auto"/>
              <w:ind w:left="0"/>
              <w:rPr>
                <w:rFonts w:cs="Calibri"/>
              </w:rPr>
            </w:pPr>
          </w:p>
          <w:p w:rsidR="001A034E" w:rsidRPr="001A034E" w:rsidRDefault="001A034E" w:rsidP="001A034E">
            <w:pPr>
              <w:spacing w:after="0" w:line="240" w:lineRule="auto"/>
              <w:ind w:left="0"/>
              <w:rPr>
                <w:rFonts w:cs="Calibri"/>
              </w:rPr>
            </w:pPr>
            <w:r w:rsidRPr="001A034E">
              <w:rPr>
                <w:rFonts w:cs="Calibri"/>
              </w:rPr>
              <w:t xml:space="preserve">             Façade maritime majeure</w:t>
            </w:r>
          </w:p>
          <w:p w:rsidR="001A034E" w:rsidRPr="001A034E" w:rsidRDefault="001A034E" w:rsidP="001A034E">
            <w:pPr>
              <w:spacing w:after="0" w:line="240" w:lineRule="auto"/>
              <w:ind w:left="0"/>
              <w:rPr>
                <w:rFonts w:cs="Calibri"/>
              </w:rPr>
            </w:pPr>
          </w:p>
        </w:tc>
      </w:tr>
    </w:tbl>
    <w:p w:rsidR="001A034E" w:rsidRPr="001A034E" w:rsidRDefault="001A034E" w:rsidP="001A034E">
      <w:pPr>
        <w:spacing w:after="0" w:line="240" w:lineRule="auto"/>
        <w:ind w:left="0"/>
        <w:rPr>
          <w:rFonts w:ascii="Calibri" w:hAnsi="Calibri" w:cs="Calibri"/>
          <w:lang w:eastAsia="en-US"/>
        </w:rPr>
      </w:pP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ascii="Calibri" w:hAnsi="Calibri"/>
          <w:lang w:eastAsia="en-US"/>
        </w:rPr>
      </w:pPr>
    </w:p>
    <w:p w:rsidR="001A034E" w:rsidRPr="001A034E" w:rsidRDefault="001A034E" w:rsidP="001A034E">
      <w:pPr>
        <w:spacing w:after="0" w:line="240" w:lineRule="auto"/>
        <w:ind w:left="0"/>
        <w:rPr>
          <w:rFonts w:cs="Arial"/>
          <w:b/>
          <w:bCs/>
          <w:lang w:eastAsia="en-US"/>
        </w:rPr>
      </w:pPr>
      <w:r w:rsidRPr="001A034E">
        <w:rPr>
          <w:rFonts w:cs="Arial"/>
          <w:b/>
          <w:bCs/>
          <w:lang w:eastAsia="en-US"/>
        </w:rPr>
        <w:br w:type="page"/>
      </w:r>
    </w:p>
    <w:p w:rsidR="001A034E" w:rsidRPr="001A034E" w:rsidRDefault="001A034E" w:rsidP="001A034E">
      <w:pPr>
        <w:spacing w:after="0" w:line="240" w:lineRule="auto"/>
        <w:ind w:left="0"/>
        <w:rPr>
          <w:rFonts w:cs="Arial"/>
          <w:b/>
          <w:bCs/>
          <w:lang w:eastAsia="en-US"/>
        </w:rPr>
      </w:pPr>
      <w:r w:rsidRPr="001A034E">
        <w:rPr>
          <w:rFonts w:cs="Arial"/>
          <w:b/>
          <w:bCs/>
          <w:lang w:eastAsia="en-US"/>
        </w:rPr>
        <w:lastRenderedPageBreak/>
        <w:t>Deuxième partie : analyse de document(s) (sur 10 points)</w:t>
      </w:r>
    </w:p>
    <w:p w:rsidR="001A034E" w:rsidRPr="001A034E" w:rsidRDefault="001A034E" w:rsidP="001A034E">
      <w:pPr>
        <w:spacing w:after="0" w:line="240" w:lineRule="auto"/>
        <w:ind w:left="0"/>
        <w:rPr>
          <w:rFonts w:ascii="Calibri" w:hAnsi="Calibri"/>
          <w:lang w:eastAsia="en-US"/>
        </w:rPr>
      </w:pPr>
    </w:p>
    <w:p w:rsidR="001A034E" w:rsidRPr="001A034E" w:rsidRDefault="001A034E" w:rsidP="001A034E">
      <w:pPr>
        <w:suppressLineNumbers/>
        <w:autoSpaceDE w:val="0"/>
        <w:autoSpaceDN w:val="0"/>
        <w:adjustRightInd w:val="0"/>
        <w:spacing w:after="0" w:line="240" w:lineRule="auto"/>
        <w:ind w:left="0"/>
        <w:rPr>
          <w:rFonts w:cs="Arial"/>
          <w:lang w:eastAsia="en-US"/>
        </w:rPr>
      </w:pPr>
      <w:r w:rsidRPr="001A034E">
        <w:rPr>
          <w:rFonts w:cs="Arial"/>
          <w:lang w:eastAsia="en-US"/>
        </w:rPr>
        <w:t>Le candidat choisit l’un des deux sujets.</w:t>
      </w:r>
    </w:p>
    <w:p w:rsidR="001A034E" w:rsidRPr="001A034E" w:rsidRDefault="001A034E" w:rsidP="001A034E">
      <w:pPr>
        <w:suppressLineNumbers/>
        <w:autoSpaceDE w:val="0"/>
        <w:autoSpaceDN w:val="0"/>
        <w:adjustRightInd w:val="0"/>
        <w:spacing w:after="0" w:line="240" w:lineRule="auto"/>
        <w:ind w:left="0"/>
        <w:rPr>
          <w:rFonts w:cs="Arial"/>
          <w:lang w:eastAsia="en-US"/>
        </w:rPr>
      </w:pPr>
    </w:p>
    <w:p w:rsidR="001A034E" w:rsidRPr="001A034E" w:rsidRDefault="001A034E" w:rsidP="001A034E">
      <w:pPr>
        <w:spacing w:after="0" w:line="240" w:lineRule="auto"/>
        <w:ind w:left="0"/>
        <w:jc w:val="center"/>
        <w:rPr>
          <w:rFonts w:cs="Arial"/>
          <w:b/>
          <w:bCs/>
          <w:lang w:eastAsia="en-US"/>
        </w:rPr>
      </w:pPr>
    </w:p>
    <w:p w:rsidR="001A034E" w:rsidRPr="001A034E" w:rsidRDefault="001A034E" w:rsidP="001A034E">
      <w:pPr>
        <w:spacing w:after="0" w:line="240" w:lineRule="auto"/>
        <w:ind w:left="0"/>
        <w:jc w:val="center"/>
        <w:rPr>
          <w:rFonts w:cs="Arial"/>
          <w:b/>
          <w:bCs/>
          <w:lang w:eastAsia="en-US"/>
        </w:rPr>
      </w:pPr>
      <w:r w:rsidRPr="001A034E">
        <w:rPr>
          <w:rFonts w:cs="Arial"/>
          <w:b/>
          <w:bCs/>
          <w:lang w:eastAsia="en-US"/>
        </w:rPr>
        <w:t>Sujet d’étude : Lyon : les mutations d’une métropole.</w:t>
      </w:r>
    </w:p>
    <w:p w:rsidR="001A034E" w:rsidRPr="001A034E" w:rsidRDefault="001A034E" w:rsidP="001A034E">
      <w:pPr>
        <w:spacing w:after="0" w:line="240" w:lineRule="auto"/>
        <w:ind w:left="0"/>
        <w:rPr>
          <w:rFonts w:ascii="Calibri" w:hAnsi="Calibri"/>
          <w:lang w:eastAsia="en-US"/>
        </w:rPr>
      </w:pPr>
    </w:p>
    <w:p w:rsidR="001A034E" w:rsidRPr="001A034E" w:rsidRDefault="001A034E" w:rsidP="001A034E">
      <w:pPr>
        <w:shd w:val="clear" w:color="auto" w:fill="FFFFFF"/>
        <w:spacing w:after="0" w:line="240" w:lineRule="auto"/>
        <w:ind w:left="0"/>
        <w:textAlignment w:val="baseline"/>
        <w:rPr>
          <w:rFonts w:cs="Arial"/>
          <w:u w:val="single"/>
          <w:lang w:eastAsia="en-US"/>
        </w:rPr>
      </w:pPr>
      <w:r w:rsidRPr="001A034E">
        <w:rPr>
          <w:rFonts w:cs="Arial"/>
          <w:u w:val="single"/>
          <w:lang w:eastAsia="en-US"/>
        </w:rPr>
        <w:t xml:space="preserve">Document 1 : </w:t>
      </w:r>
      <w:r w:rsidRPr="001A034E">
        <w:rPr>
          <w:rFonts w:cs="Arial"/>
          <w:lang w:eastAsia="en-US"/>
        </w:rPr>
        <w:t>le Projet Lyon La Duchère.</w:t>
      </w:r>
      <w:r w:rsidRPr="001A034E">
        <w:rPr>
          <w:rFonts w:cs="Arial"/>
          <w:u w:val="single"/>
          <w:lang w:eastAsia="en-US"/>
        </w:rPr>
        <w:t xml:space="preserve"> </w:t>
      </w:r>
    </w:p>
    <w:p w:rsidR="001A034E" w:rsidRPr="001A034E" w:rsidRDefault="001A034E" w:rsidP="001A034E">
      <w:pPr>
        <w:shd w:val="clear" w:color="auto" w:fill="FFFFFF"/>
        <w:spacing w:after="0" w:line="240" w:lineRule="auto"/>
        <w:ind w:left="0"/>
        <w:textAlignment w:val="baseline"/>
        <w:rPr>
          <w:rFonts w:cs="Arial"/>
          <w:u w:val="single"/>
          <w:lang w:eastAsia="en-US"/>
        </w:rPr>
      </w:pPr>
    </w:p>
    <w:p w:rsidR="001A034E" w:rsidRPr="001A034E" w:rsidRDefault="001A034E" w:rsidP="001A034E">
      <w:pPr>
        <w:shd w:val="clear" w:color="auto" w:fill="FFFFFF"/>
        <w:spacing w:after="0" w:line="240" w:lineRule="auto"/>
        <w:ind w:left="0"/>
        <w:textAlignment w:val="baseline"/>
        <w:rPr>
          <w:rFonts w:cs="Arial"/>
          <w:lang w:eastAsia="en-US"/>
        </w:rPr>
      </w:pPr>
      <w:r w:rsidRPr="001A034E">
        <w:rPr>
          <w:rFonts w:cs="Arial"/>
          <w:lang w:eastAsia="en-US"/>
        </w:rPr>
        <w:t>L’ensemble des acteurs publics décide en 2001 de s’associer autour d’un Grand Projet de Ville (GPV) dans l’objectif de mettre en œuvre une politique volontariste de revalorisation globale du quartier.</w:t>
      </w:r>
    </w:p>
    <w:p w:rsidR="001A034E" w:rsidRPr="001A034E" w:rsidRDefault="001A034E" w:rsidP="001A034E">
      <w:pPr>
        <w:shd w:val="clear" w:color="auto" w:fill="FFFFFF"/>
        <w:spacing w:after="0" w:line="240" w:lineRule="auto"/>
        <w:ind w:left="0"/>
        <w:textAlignment w:val="baseline"/>
        <w:rPr>
          <w:rFonts w:cs="Arial"/>
          <w:lang w:eastAsia="en-US"/>
        </w:rPr>
      </w:pPr>
      <w:r w:rsidRPr="001A034E">
        <w:rPr>
          <w:rFonts w:cs="Arial"/>
          <w:lang w:eastAsia="en-US"/>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1A034E" w:rsidRPr="001A034E" w:rsidRDefault="001A034E" w:rsidP="001A034E">
      <w:pPr>
        <w:shd w:val="clear" w:color="auto" w:fill="FFFFFF"/>
        <w:spacing w:after="0" w:line="240" w:lineRule="auto"/>
        <w:ind w:left="0"/>
        <w:textAlignment w:val="baseline"/>
        <w:rPr>
          <w:rFonts w:cs="Arial"/>
          <w:lang w:eastAsia="en-US"/>
        </w:rPr>
      </w:pPr>
      <w:r w:rsidRPr="001A034E">
        <w:rPr>
          <w:rFonts w:cs="Arial"/>
          <w:lang w:eastAsia="en-US"/>
        </w:rPr>
        <w:t>Pour sortir le quartier de ses difficultés, </w:t>
      </w:r>
      <w:r w:rsidRPr="001A034E">
        <w:rPr>
          <w:rFonts w:cs="Arial"/>
          <w:bdr w:val="none" w:sz="0" w:space="0" w:color="auto" w:frame="1"/>
          <w:lang w:eastAsia="en-US"/>
        </w:rPr>
        <w:t>un « Grand Projet de Ville » est validé fin 2002 et développé depuis pour s’achever en 2018</w:t>
      </w:r>
      <w:r w:rsidRPr="001A034E">
        <w:rPr>
          <w:rFonts w:cs="Arial"/>
          <w:lang w:eastAsia="en-US"/>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1A034E" w:rsidRPr="001A034E" w:rsidRDefault="001A034E" w:rsidP="001A034E">
      <w:pPr>
        <w:shd w:val="clear" w:color="auto" w:fill="FFFFFF"/>
        <w:spacing w:after="0" w:line="240" w:lineRule="auto"/>
        <w:ind w:left="0"/>
        <w:textAlignment w:val="baseline"/>
        <w:rPr>
          <w:rFonts w:cs="Arial"/>
          <w:lang w:eastAsia="en-US"/>
        </w:rPr>
      </w:pPr>
      <w:r w:rsidRPr="001A034E">
        <w:rPr>
          <w:rFonts w:cs="Arial"/>
          <w:lang w:eastAsia="en-US"/>
        </w:rPr>
        <w:t xml:space="preserve">Ce projet porté par le Grand Lyon est soutenu par l’État, l’Agence Nationale pour la Rénovation Urbaine (ANRU), l’Agence Nationale pour la Cohésion Sociale et l’Égalité des Chances (l’Acsé), la Région Rhône-Alpes, le Département du Rhône, la Ville de Lyon, les 4 bailleurs sociaux du territoire, l’Europe et leurs partenaires. </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Source : d’après </w:t>
      </w:r>
      <w:hyperlink r:id="rId8" w:history="1">
        <w:r w:rsidRPr="001A034E">
          <w:rPr>
            <w:rFonts w:cs="Arial"/>
            <w:color w:val="0563C1"/>
            <w:u w:val="single"/>
            <w:lang w:eastAsia="en-US"/>
          </w:rPr>
          <w:t>www.gpvlyonduchere.org</w:t>
        </w:r>
      </w:hyperlink>
      <w:r w:rsidRPr="001A034E">
        <w:rPr>
          <w:rFonts w:cs="Arial"/>
          <w:lang w:eastAsia="en-US"/>
        </w:rPr>
        <w:t xml:space="preserve">. [consulté le 10/09/2019]. </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u w:val="single"/>
          <w:lang w:eastAsia="en-US"/>
        </w:rPr>
      </w:pPr>
      <w:r w:rsidRPr="001A034E">
        <w:rPr>
          <w:rFonts w:cs="Arial"/>
          <w:u w:val="single"/>
          <w:lang w:eastAsia="en-US"/>
        </w:rPr>
        <w:br w:type="page"/>
      </w:r>
    </w:p>
    <w:p w:rsidR="001A034E" w:rsidRPr="001A034E" w:rsidRDefault="001A034E" w:rsidP="001A034E">
      <w:pPr>
        <w:spacing w:after="0" w:line="240" w:lineRule="auto"/>
        <w:ind w:left="0"/>
        <w:rPr>
          <w:rFonts w:cs="Arial"/>
          <w:lang w:eastAsia="en-US"/>
        </w:rPr>
      </w:pPr>
      <w:r w:rsidRPr="001A034E">
        <w:rPr>
          <w:rFonts w:cs="Arial"/>
          <w:u w:val="single"/>
          <w:lang w:eastAsia="en-US"/>
        </w:rPr>
        <w:lastRenderedPageBreak/>
        <w:t xml:space="preserve">Document 2 : </w:t>
      </w:r>
      <w:r w:rsidRPr="001A034E">
        <w:rPr>
          <w:rFonts w:cs="Arial"/>
          <w:lang w:eastAsia="en-US"/>
        </w:rPr>
        <w:t>la déconstruction d’une barre de 200 logements par l’entreprise Perrier Déconstruction en 2015</w:t>
      </w:r>
    </w:p>
    <w:p w:rsidR="001A034E" w:rsidRPr="001A034E" w:rsidRDefault="001A034E" w:rsidP="001A034E">
      <w:pPr>
        <w:spacing w:after="0" w:line="240" w:lineRule="auto"/>
        <w:ind w:left="0"/>
        <w:rPr>
          <w:rFonts w:cs="Arial"/>
          <w:u w:val="single"/>
          <w:lang w:eastAsia="en-US"/>
        </w:rPr>
      </w:pPr>
    </w:p>
    <w:p w:rsidR="001A034E" w:rsidRPr="001A034E" w:rsidRDefault="001A034E" w:rsidP="001A034E">
      <w:pPr>
        <w:spacing w:after="0" w:line="240" w:lineRule="auto"/>
        <w:ind w:left="0"/>
        <w:rPr>
          <w:rFonts w:cs="Arial"/>
          <w:lang w:eastAsia="en-US"/>
        </w:rPr>
      </w:pPr>
      <w:r w:rsidRPr="001A034E">
        <w:rPr>
          <w:rFonts w:cs="Arial"/>
          <w:noProof/>
        </w:rPr>
        <w:drawing>
          <wp:inline distT="0" distB="0" distL="0" distR="0" wp14:anchorId="69D8F7F2" wp14:editId="43ACE0C6">
            <wp:extent cx="6296025" cy="3552825"/>
            <wp:effectExtent l="0" t="0" r="9525" b="9525"/>
            <wp:docPr id="4" name="Image 4"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ans le quartier de la Duchère à Lyon, Colas passe la « barre des 200 »"/>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296025" cy="3552825"/>
                    </a:xfrm>
                    <a:prstGeom prst="rect">
                      <a:avLst/>
                    </a:prstGeom>
                    <a:noFill/>
                    <a:ln>
                      <a:noFill/>
                    </a:ln>
                  </pic:spPr>
                </pic:pic>
              </a:graphicData>
            </a:graphic>
          </wp:inline>
        </w:drawing>
      </w:r>
    </w:p>
    <w:p w:rsidR="001A034E" w:rsidRPr="001A034E" w:rsidRDefault="001A034E" w:rsidP="001A034E">
      <w:pPr>
        <w:spacing w:after="0" w:line="240" w:lineRule="auto"/>
        <w:ind w:left="0"/>
        <w:rPr>
          <w:rFonts w:cs="Arial"/>
          <w:lang w:eastAsia="en-US"/>
        </w:rPr>
      </w:pPr>
      <w:r w:rsidRPr="001A034E">
        <w:rPr>
          <w:rFonts w:cs="Arial"/>
          <w:lang w:eastAsia="en-US"/>
        </w:rPr>
        <w:t xml:space="preserve">Source : </w:t>
      </w:r>
      <w:hyperlink r:id="rId11" w:history="1">
        <w:r w:rsidRPr="001A034E">
          <w:rPr>
            <w:rFonts w:cs="Arial"/>
            <w:color w:val="0563C1"/>
            <w:u w:val="single"/>
            <w:lang w:eastAsia="en-US"/>
          </w:rPr>
          <w:t>https://www.constructioncayola.com/batiment/article/2015/06/25/100663/dans-quartier-duchere-lyon-colas-passe-barre-des-200</w:t>
        </w:r>
      </w:hyperlink>
      <w:r w:rsidRPr="001A034E">
        <w:rPr>
          <w:rFonts w:cs="Arial"/>
          <w:lang w:eastAsia="en-US"/>
        </w:rPr>
        <w:t xml:space="preserve"> [consulté en octobre 2019]</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Questions : </w:t>
      </w:r>
    </w:p>
    <w:p w:rsidR="001A034E" w:rsidRPr="001A034E" w:rsidRDefault="001A034E" w:rsidP="001A034E">
      <w:pPr>
        <w:spacing w:after="0" w:line="240" w:lineRule="auto"/>
        <w:ind w:left="0"/>
        <w:rPr>
          <w:rFonts w:cs="Arial"/>
          <w:lang w:eastAsia="en-US"/>
        </w:rPr>
      </w:pPr>
    </w:p>
    <w:p w:rsidR="001A034E" w:rsidRPr="001A034E" w:rsidRDefault="001A034E" w:rsidP="001A034E">
      <w:pPr>
        <w:numPr>
          <w:ilvl w:val="0"/>
          <w:numId w:val="2"/>
        </w:numPr>
        <w:spacing w:after="0" w:line="240" w:lineRule="auto"/>
        <w:ind w:right="-306"/>
        <w:contextualSpacing/>
        <w:jc w:val="both"/>
        <w:rPr>
          <w:rFonts w:cs="Arial"/>
          <w:szCs w:val="22"/>
          <w:lang w:eastAsia="en-US"/>
        </w:rPr>
      </w:pPr>
      <w:r w:rsidRPr="001A034E">
        <w:rPr>
          <w:rFonts w:cs="Arial"/>
          <w:szCs w:val="22"/>
          <w:lang w:eastAsia="en-US"/>
        </w:rPr>
        <w:t>Relevez les difficultés rencontrées par le quartier de La Duchère.</w:t>
      </w:r>
    </w:p>
    <w:p w:rsidR="001A034E" w:rsidRPr="001A034E" w:rsidRDefault="001A034E" w:rsidP="001A034E">
      <w:pPr>
        <w:numPr>
          <w:ilvl w:val="0"/>
          <w:numId w:val="2"/>
        </w:numPr>
        <w:spacing w:after="0" w:line="240" w:lineRule="auto"/>
        <w:ind w:right="-306"/>
        <w:contextualSpacing/>
        <w:jc w:val="both"/>
        <w:rPr>
          <w:rFonts w:cs="Arial"/>
          <w:szCs w:val="22"/>
          <w:lang w:eastAsia="en-US"/>
        </w:rPr>
      </w:pPr>
      <w:r w:rsidRPr="001A034E">
        <w:rPr>
          <w:rFonts w:cs="Arial"/>
          <w:szCs w:val="22"/>
          <w:lang w:eastAsia="en-US"/>
        </w:rPr>
        <w:t xml:space="preserve">Quels sont les objectifs du Grand Projet de Ville ? </w:t>
      </w:r>
    </w:p>
    <w:p w:rsidR="001A034E" w:rsidRPr="001A034E" w:rsidRDefault="001A034E" w:rsidP="001A034E">
      <w:pPr>
        <w:numPr>
          <w:ilvl w:val="0"/>
          <w:numId w:val="2"/>
        </w:numPr>
        <w:spacing w:after="0" w:line="240" w:lineRule="auto"/>
        <w:ind w:right="-306"/>
        <w:contextualSpacing/>
        <w:jc w:val="both"/>
        <w:rPr>
          <w:rFonts w:cs="Arial"/>
          <w:szCs w:val="22"/>
          <w:lang w:eastAsia="en-US"/>
        </w:rPr>
      </w:pPr>
      <w:r w:rsidRPr="001A034E">
        <w:rPr>
          <w:rFonts w:cs="Arial"/>
          <w:szCs w:val="22"/>
          <w:lang w:eastAsia="en-US"/>
        </w:rPr>
        <w:t>Quels sont les moyens mis en œuvre pour les atteindre ?</w:t>
      </w:r>
    </w:p>
    <w:p w:rsidR="001A034E" w:rsidRPr="001A034E" w:rsidRDefault="001A034E" w:rsidP="001A034E">
      <w:pPr>
        <w:numPr>
          <w:ilvl w:val="0"/>
          <w:numId w:val="2"/>
        </w:numPr>
        <w:spacing w:after="0" w:line="240" w:lineRule="auto"/>
        <w:ind w:right="-306"/>
        <w:contextualSpacing/>
        <w:jc w:val="both"/>
        <w:rPr>
          <w:rFonts w:cs="Arial"/>
          <w:szCs w:val="22"/>
          <w:lang w:eastAsia="en-US"/>
        </w:rPr>
      </w:pPr>
      <w:r w:rsidRPr="001A034E">
        <w:rPr>
          <w:rFonts w:cs="Arial"/>
          <w:szCs w:val="22"/>
          <w:lang w:eastAsia="en-US"/>
        </w:rPr>
        <w:t xml:space="preserve">Montrez que les aménagements sont le résultat d’une concertation entre différents acteurs. </w:t>
      </w:r>
    </w:p>
    <w:p w:rsidR="001A034E" w:rsidRPr="001A034E" w:rsidRDefault="001A034E" w:rsidP="001A034E">
      <w:pPr>
        <w:numPr>
          <w:ilvl w:val="0"/>
          <w:numId w:val="2"/>
        </w:numPr>
        <w:spacing w:after="0" w:line="240" w:lineRule="auto"/>
        <w:ind w:right="-306"/>
        <w:contextualSpacing/>
        <w:jc w:val="both"/>
        <w:rPr>
          <w:rFonts w:cs="Arial"/>
          <w:szCs w:val="22"/>
          <w:lang w:eastAsia="en-US"/>
        </w:rPr>
      </w:pPr>
      <w:r w:rsidRPr="001A034E">
        <w:rPr>
          <w:rFonts w:cs="Arial"/>
          <w:szCs w:val="22"/>
          <w:lang w:eastAsia="en-US"/>
        </w:rPr>
        <w:t xml:space="preserve">Montrez que l’évolution du quartier de la Duchère s’inscrit dans les mutations de la métropole lyonnaise. </w:t>
      </w:r>
    </w:p>
    <w:p w:rsidR="001A034E" w:rsidRPr="001A034E" w:rsidRDefault="001A034E" w:rsidP="001A034E">
      <w:pPr>
        <w:spacing w:after="0" w:line="240" w:lineRule="auto"/>
        <w:ind w:left="0" w:right="-306"/>
        <w:jc w:val="both"/>
        <w:rPr>
          <w:rFonts w:cs="Arial"/>
          <w:lang w:eastAsia="en-US"/>
        </w:rPr>
      </w:pPr>
    </w:p>
    <w:p w:rsidR="001A034E" w:rsidRPr="001A034E" w:rsidRDefault="001A034E" w:rsidP="001A034E">
      <w:pPr>
        <w:spacing w:after="0" w:line="240" w:lineRule="auto"/>
        <w:ind w:left="0"/>
        <w:rPr>
          <w:rFonts w:ascii="Calibri" w:hAnsi="Calibri"/>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br w:type="page"/>
      </w:r>
    </w:p>
    <w:p w:rsidR="001A034E" w:rsidRPr="001A034E" w:rsidRDefault="001A034E" w:rsidP="001A034E">
      <w:pPr>
        <w:spacing w:after="0" w:line="240" w:lineRule="auto"/>
        <w:ind w:left="0"/>
        <w:jc w:val="center"/>
        <w:rPr>
          <w:rFonts w:cs="Arial"/>
          <w:b/>
          <w:lang w:eastAsia="en-US"/>
        </w:rPr>
      </w:pPr>
      <w:r w:rsidRPr="001A034E">
        <w:rPr>
          <w:rFonts w:cs="Arial"/>
          <w:b/>
          <w:lang w:eastAsia="en-US"/>
        </w:rPr>
        <w:lastRenderedPageBreak/>
        <w:t>Sujet d’étude : Londres : une métropole de rang mondial.</w:t>
      </w:r>
    </w:p>
    <w:p w:rsidR="001A034E" w:rsidRPr="001A034E" w:rsidRDefault="001A034E" w:rsidP="001A034E">
      <w:pPr>
        <w:spacing w:after="0" w:line="240" w:lineRule="auto"/>
        <w:ind w:left="0"/>
        <w:rPr>
          <w:rFonts w:ascii="Calibri" w:hAnsi="Calibri"/>
          <w:lang w:eastAsia="en-US"/>
        </w:rPr>
      </w:pPr>
    </w:p>
    <w:p w:rsidR="001A034E" w:rsidRPr="001A034E" w:rsidRDefault="001A034E" w:rsidP="001A034E">
      <w:pPr>
        <w:spacing w:after="0" w:line="240" w:lineRule="auto"/>
        <w:ind w:left="0"/>
        <w:rPr>
          <w:rFonts w:cs="Arial"/>
          <w:lang w:eastAsia="en-US"/>
        </w:rPr>
      </w:pPr>
      <w:r w:rsidRPr="001A034E">
        <w:rPr>
          <w:rFonts w:cs="Arial"/>
          <w:u w:val="single"/>
          <w:lang w:eastAsia="en-US"/>
        </w:rPr>
        <w:t xml:space="preserve">Document 1 : </w:t>
      </w:r>
      <w:r w:rsidRPr="001A034E">
        <w:rPr>
          <w:rFonts w:cs="Arial"/>
          <w:lang w:eastAsia="en-US"/>
        </w:rPr>
        <w:t>le quartier d’affaires de la City</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Malgré la crise, le </w:t>
      </w:r>
      <w:r w:rsidRPr="001A034E">
        <w:rPr>
          <w:rFonts w:cs="Arial"/>
          <w:i/>
          <w:lang w:eastAsia="en-US"/>
        </w:rPr>
        <w:t>Square Mile</w:t>
      </w:r>
      <w:r w:rsidRPr="001A034E">
        <w:rPr>
          <w:rFonts w:cs="Arial"/>
          <w:i/>
          <w:vertAlign w:val="superscript"/>
          <w:lang w:eastAsia="en-US"/>
        </w:rPr>
        <w:t>1</w:t>
      </w:r>
      <w:r w:rsidRPr="001A034E">
        <w:rPr>
          <w:rFonts w:cs="Arial"/>
          <w:lang w:eastAsia="en-US"/>
        </w:rPr>
        <w:t xml:space="preserve"> reste le cœur économique du Royaume-Uni et l’une des premières places boursières du monde. Si la City compte 11 500 habitants en 2009, elle emploie environ 350 000 personnes dont 63% dans la finance et l’assurance. La </w:t>
      </w:r>
      <w:r w:rsidRPr="001A034E">
        <w:rPr>
          <w:rFonts w:cs="Arial"/>
          <w:i/>
          <w:lang w:eastAsia="en-US"/>
        </w:rPr>
        <w:t xml:space="preserve">City </w:t>
      </w:r>
      <w:r w:rsidRPr="001A034E">
        <w:rPr>
          <w:rFonts w:cs="Arial"/>
          <w:lang w:eastAsia="en-US"/>
        </w:rPr>
        <w:t>[…] figure au premier rang mondial devant Tokyo pour les activités bancaires, et devant New York pour les transactions et devises</w:t>
      </w:r>
      <w:r w:rsidRPr="001A034E">
        <w:rPr>
          <w:rFonts w:cs="Arial"/>
          <w:vertAlign w:val="superscript"/>
          <w:lang w:eastAsia="en-US"/>
        </w:rPr>
        <w:t>2</w:t>
      </w:r>
      <w:r w:rsidRPr="001A034E">
        <w:rPr>
          <w:rFonts w:cs="Arial"/>
          <w:lang w:eastAsia="en-US"/>
        </w:rPr>
        <w:t xml:space="preserve">. Elle domine également le secteur de l’assurance symbolisée par la Lloyd’s. La </w:t>
      </w:r>
      <w:r w:rsidRPr="001A034E">
        <w:rPr>
          <w:rFonts w:cs="Arial"/>
          <w:i/>
          <w:lang w:eastAsia="en-US"/>
        </w:rPr>
        <w:t xml:space="preserve">City </w:t>
      </w:r>
      <w:r w:rsidRPr="001A034E">
        <w:rPr>
          <w:rFonts w:cs="Arial"/>
          <w:lang w:eastAsia="en-US"/>
        </w:rPr>
        <w:t>accueille la Banque d’Angleterre, plus de 240 banques étrangères en provenance des cinq continents, les sièges sociaux de grandes firmes nationales […] comme Shell et BP.</w:t>
      </w:r>
    </w:p>
    <w:p w:rsidR="001A034E" w:rsidRPr="001A034E" w:rsidRDefault="001A034E" w:rsidP="001A034E">
      <w:pPr>
        <w:spacing w:after="0" w:line="240" w:lineRule="auto"/>
        <w:ind w:left="0"/>
        <w:rPr>
          <w:rFonts w:cs="Arial"/>
          <w:lang w:eastAsia="en-US"/>
        </w:rPr>
      </w:pPr>
      <w:r w:rsidRPr="001A034E">
        <w:rPr>
          <w:rFonts w:cs="Arial"/>
          <w:lang w:eastAsia="en-US"/>
        </w:rPr>
        <w:t xml:space="preserve">La réussite de la </w:t>
      </w:r>
      <w:r w:rsidRPr="001A034E">
        <w:rPr>
          <w:rFonts w:cs="Arial"/>
          <w:i/>
          <w:lang w:eastAsia="en-US"/>
        </w:rPr>
        <w:t>City</w:t>
      </w:r>
      <w:r w:rsidRPr="001A034E">
        <w:rPr>
          <w:rFonts w:cs="Arial"/>
          <w:lang w:eastAsia="en-US"/>
        </w:rPr>
        <w:t xml:space="preserve"> est en partie liée à son autonomie historique qui remonte au Moyen-Age. […] La </w:t>
      </w:r>
      <w:r w:rsidRPr="001A034E">
        <w:rPr>
          <w:rFonts w:cs="Arial"/>
          <w:i/>
          <w:lang w:eastAsia="en-US"/>
        </w:rPr>
        <w:t>City</w:t>
      </w:r>
      <w:r w:rsidRPr="001A034E">
        <w:rPr>
          <w:rFonts w:cs="Arial"/>
          <w:lang w:eastAsia="en-US"/>
        </w:rPr>
        <w:t xml:space="preserve"> a conservé en partie cet héritage. Ainsi, elle a toujours son propre maire, qui n’est pas celui de Londres. […] Mais sa réussite actuelle tient également à sa forte capacité d’adaptation aux évolutions du marché. […] </w:t>
      </w:r>
      <w:r w:rsidRPr="001A034E">
        <w:rPr>
          <w:rFonts w:cs="Arial"/>
          <w:iCs/>
          <w:lang w:eastAsia="en-US"/>
        </w:rPr>
        <w:t>La</w:t>
      </w:r>
      <w:r w:rsidRPr="001A034E">
        <w:rPr>
          <w:rFonts w:cs="Arial"/>
          <w:i/>
          <w:lang w:eastAsia="en-US"/>
        </w:rPr>
        <w:t xml:space="preserve"> City</w:t>
      </w:r>
      <w:r w:rsidRPr="001A034E">
        <w:rPr>
          <w:rFonts w:cs="Arial"/>
          <w:lang w:eastAsia="en-US"/>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1A034E" w:rsidRPr="001A034E" w:rsidRDefault="001A034E" w:rsidP="001A034E">
      <w:pPr>
        <w:spacing w:after="0" w:line="240" w:lineRule="auto"/>
        <w:ind w:left="0"/>
        <w:rPr>
          <w:rFonts w:cs="Arial"/>
          <w:lang w:eastAsia="en-US"/>
        </w:rPr>
      </w:pPr>
      <w:r w:rsidRPr="001A034E">
        <w:rPr>
          <w:rFonts w:cs="Arial"/>
          <w:lang w:eastAsia="en-US"/>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Notes : </w:t>
      </w:r>
    </w:p>
    <w:p w:rsidR="001A034E" w:rsidRPr="001A034E" w:rsidRDefault="001A034E" w:rsidP="001A034E">
      <w:pPr>
        <w:spacing w:after="0" w:line="240" w:lineRule="auto"/>
        <w:ind w:left="0"/>
        <w:rPr>
          <w:rFonts w:cs="Arial"/>
          <w:i/>
          <w:lang w:eastAsia="en-US"/>
        </w:rPr>
      </w:pPr>
      <w:r w:rsidRPr="001A034E">
        <w:rPr>
          <w:rFonts w:cs="Arial"/>
          <w:i/>
          <w:vertAlign w:val="superscript"/>
          <w:lang w:eastAsia="en-US"/>
        </w:rPr>
        <w:t xml:space="preserve">1 </w:t>
      </w:r>
      <w:r w:rsidRPr="001A034E">
        <w:rPr>
          <w:rFonts w:cs="Arial"/>
          <w:i/>
          <w:lang w:eastAsia="en-US"/>
        </w:rPr>
        <w:t>autre nom du quartier de la City (qui fait 1 mile carré d’où ce nom)</w:t>
      </w:r>
    </w:p>
    <w:p w:rsidR="001A034E" w:rsidRPr="001A034E" w:rsidRDefault="001A034E" w:rsidP="001A034E">
      <w:pPr>
        <w:spacing w:after="0" w:line="240" w:lineRule="auto"/>
        <w:ind w:left="0"/>
        <w:rPr>
          <w:rFonts w:cs="Arial"/>
          <w:i/>
          <w:lang w:eastAsia="en-US"/>
        </w:rPr>
      </w:pPr>
      <w:r w:rsidRPr="001A034E">
        <w:rPr>
          <w:rFonts w:cs="Arial"/>
          <w:i/>
          <w:vertAlign w:val="superscript"/>
          <w:lang w:eastAsia="en-US"/>
        </w:rPr>
        <w:t>2</w:t>
      </w:r>
      <w:r w:rsidRPr="001A034E">
        <w:rPr>
          <w:rFonts w:cs="Arial"/>
          <w:i/>
          <w:lang w:eastAsia="en-US"/>
        </w:rPr>
        <w:t xml:space="preserve"> achat et vente d’actions et obligations, achat et vente de monnaies</w:t>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Source : Manuel Appert, Mark Bailoni et Delphine Papin, </w:t>
      </w:r>
      <w:r w:rsidRPr="001A034E">
        <w:rPr>
          <w:rFonts w:cs="Arial"/>
          <w:i/>
          <w:lang w:eastAsia="en-US"/>
        </w:rPr>
        <w:t>Atlas de Londres : une métropole en perpétuelle mutation</w:t>
      </w:r>
      <w:r w:rsidRPr="001A034E">
        <w:rPr>
          <w:rFonts w:cs="Arial"/>
          <w:lang w:eastAsia="en-US"/>
        </w:rPr>
        <w:t>, Paris, Autrement, 2012.</w:t>
      </w:r>
    </w:p>
    <w:p w:rsidR="001A034E" w:rsidRPr="001A034E" w:rsidRDefault="001A034E" w:rsidP="001A034E">
      <w:pPr>
        <w:spacing w:after="0" w:line="240" w:lineRule="auto"/>
        <w:ind w:left="0"/>
        <w:rPr>
          <w:rFonts w:cs="Arial"/>
          <w:i/>
          <w:lang w:eastAsia="en-US"/>
        </w:rPr>
      </w:pPr>
    </w:p>
    <w:p w:rsidR="001A034E" w:rsidRPr="001A034E" w:rsidRDefault="001A034E" w:rsidP="001A034E">
      <w:pPr>
        <w:spacing w:after="0" w:line="240" w:lineRule="auto"/>
        <w:ind w:left="0"/>
        <w:rPr>
          <w:rFonts w:cs="Arial"/>
          <w:i/>
          <w:lang w:eastAsia="en-US"/>
        </w:rPr>
      </w:pPr>
    </w:p>
    <w:p w:rsidR="001A034E" w:rsidRPr="001A034E" w:rsidRDefault="001A034E" w:rsidP="001A034E">
      <w:pPr>
        <w:spacing w:after="0" w:line="240" w:lineRule="auto"/>
        <w:ind w:left="0"/>
        <w:rPr>
          <w:rFonts w:cs="Arial"/>
          <w:i/>
          <w:lang w:eastAsia="en-US"/>
        </w:rPr>
      </w:pPr>
    </w:p>
    <w:p w:rsidR="001A034E" w:rsidRPr="001A034E" w:rsidRDefault="001A034E" w:rsidP="001A034E">
      <w:pPr>
        <w:spacing w:after="0" w:line="240" w:lineRule="auto"/>
        <w:ind w:left="0"/>
        <w:rPr>
          <w:rFonts w:cs="Arial"/>
          <w:u w:val="single"/>
          <w:lang w:eastAsia="en-US"/>
        </w:rPr>
      </w:pPr>
      <w:r w:rsidRPr="001A034E">
        <w:rPr>
          <w:rFonts w:cs="Arial"/>
          <w:u w:val="single"/>
          <w:lang w:eastAsia="en-US"/>
        </w:rPr>
        <w:br w:type="page"/>
      </w:r>
    </w:p>
    <w:p w:rsidR="001A034E" w:rsidRPr="001A034E" w:rsidRDefault="001A034E" w:rsidP="001A034E">
      <w:pPr>
        <w:spacing w:after="0" w:line="240" w:lineRule="auto"/>
        <w:ind w:left="0"/>
        <w:rPr>
          <w:rFonts w:cs="Arial"/>
          <w:u w:val="single"/>
          <w:lang w:eastAsia="en-US"/>
        </w:rPr>
      </w:pPr>
      <w:r w:rsidRPr="001A034E">
        <w:rPr>
          <w:rFonts w:cs="Arial"/>
          <w:u w:val="single"/>
          <w:lang w:eastAsia="en-US"/>
        </w:rPr>
        <w:lastRenderedPageBreak/>
        <w:t xml:space="preserve">Document 2 : </w:t>
      </w:r>
      <w:r w:rsidRPr="001A034E">
        <w:rPr>
          <w:rFonts w:cs="Arial"/>
          <w:lang w:eastAsia="en-US"/>
        </w:rPr>
        <w:t>l’organisation de Londres</w:t>
      </w:r>
    </w:p>
    <w:p w:rsidR="001A034E" w:rsidRPr="001A034E" w:rsidRDefault="001A034E" w:rsidP="001A034E">
      <w:pPr>
        <w:spacing w:after="0" w:line="240" w:lineRule="auto"/>
        <w:ind w:left="0"/>
        <w:rPr>
          <w:rFonts w:cs="Arial"/>
          <w:i/>
          <w:lang w:eastAsia="en-US"/>
        </w:rPr>
      </w:pPr>
    </w:p>
    <w:p w:rsidR="001A034E" w:rsidRPr="001A034E" w:rsidRDefault="001A034E" w:rsidP="001A034E">
      <w:pPr>
        <w:spacing w:after="0" w:line="240" w:lineRule="auto"/>
        <w:ind w:left="0"/>
        <w:rPr>
          <w:rFonts w:cs="Arial"/>
          <w:i/>
          <w:lang w:eastAsia="en-US"/>
        </w:rPr>
      </w:pPr>
      <w:r w:rsidRPr="001A034E">
        <w:rPr>
          <w:rFonts w:cs="Arial"/>
          <w:i/>
          <w:noProof/>
        </w:rPr>
        <w:drawing>
          <wp:inline distT="0" distB="0" distL="0" distR="0" wp14:anchorId="5A37D369" wp14:editId="2AB647ED">
            <wp:extent cx="6038850" cy="45339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0" cy="4533900"/>
                    </a:xfrm>
                    <a:prstGeom prst="rect">
                      <a:avLst/>
                    </a:prstGeom>
                    <a:noFill/>
                    <a:ln>
                      <a:noFill/>
                    </a:ln>
                  </pic:spPr>
                </pic:pic>
              </a:graphicData>
            </a:graphic>
          </wp:inline>
        </w:drawing>
      </w: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Source : d’après </w:t>
      </w:r>
      <w:hyperlink r:id="rId13" w:history="1">
        <w:r w:rsidRPr="001A034E">
          <w:rPr>
            <w:rFonts w:cs="Arial"/>
            <w:color w:val="000000"/>
            <w:u w:val="single"/>
            <w:lang w:eastAsia="en-US"/>
          </w:rPr>
          <w:t>https://hist-geographie.dis.ac-guyane.fr/IMG/pdf/dossier_fiches_groupe.pdf</w:t>
        </w:r>
      </w:hyperlink>
      <w:r w:rsidRPr="001A034E">
        <w:rPr>
          <w:rFonts w:cs="Arial"/>
          <w:color w:val="000000"/>
          <w:lang w:eastAsia="en-US"/>
        </w:rPr>
        <w:t xml:space="preserve"> </w:t>
      </w:r>
      <w:r w:rsidRPr="001A034E">
        <w:rPr>
          <w:rFonts w:cs="Arial"/>
          <w:lang w:eastAsia="en-US"/>
        </w:rPr>
        <w:t>[consulté en octobre 2019]</w:t>
      </w:r>
    </w:p>
    <w:p w:rsidR="001A034E" w:rsidRPr="001A034E" w:rsidRDefault="001A034E" w:rsidP="001A034E">
      <w:pPr>
        <w:spacing w:after="0" w:line="240" w:lineRule="auto"/>
        <w:ind w:left="0"/>
        <w:rPr>
          <w:rFonts w:cs="Arial"/>
          <w:u w:val="single"/>
          <w:lang w:eastAsia="en-US"/>
        </w:rPr>
      </w:pPr>
    </w:p>
    <w:p w:rsidR="001A034E" w:rsidRPr="001A034E" w:rsidRDefault="001A034E" w:rsidP="001A034E">
      <w:pPr>
        <w:spacing w:after="0" w:line="240" w:lineRule="auto"/>
        <w:ind w:left="0"/>
        <w:rPr>
          <w:rFonts w:cs="Arial"/>
          <w:lang w:eastAsia="en-US"/>
        </w:rPr>
      </w:pPr>
    </w:p>
    <w:p w:rsidR="001A034E" w:rsidRPr="001A034E" w:rsidRDefault="001A034E" w:rsidP="001A034E">
      <w:pPr>
        <w:spacing w:after="0" w:line="240" w:lineRule="auto"/>
        <w:ind w:left="0"/>
        <w:rPr>
          <w:rFonts w:cs="Arial"/>
          <w:lang w:eastAsia="en-US"/>
        </w:rPr>
      </w:pPr>
      <w:r w:rsidRPr="001A034E">
        <w:rPr>
          <w:rFonts w:cs="Arial"/>
          <w:lang w:eastAsia="en-US"/>
        </w:rPr>
        <w:t xml:space="preserve">Questions : </w:t>
      </w:r>
    </w:p>
    <w:p w:rsidR="001A034E" w:rsidRPr="001A034E" w:rsidRDefault="001A034E" w:rsidP="001A034E">
      <w:pPr>
        <w:spacing w:after="0" w:line="240" w:lineRule="auto"/>
        <w:ind w:left="0"/>
        <w:rPr>
          <w:rFonts w:cs="Arial"/>
          <w:u w:val="single"/>
          <w:lang w:eastAsia="en-US"/>
        </w:rPr>
      </w:pPr>
    </w:p>
    <w:p w:rsidR="001A034E" w:rsidRPr="001A034E" w:rsidRDefault="001A034E" w:rsidP="001A034E">
      <w:pPr>
        <w:numPr>
          <w:ilvl w:val="0"/>
          <w:numId w:val="3"/>
        </w:numPr>
        <w:spacing w:after="0" w:line="240" w:lineRule="auto"/>
        <w:ind w:left="360"/>
        <w:contextualSpacing/>
        <w:rPr>
          <w:rFonts w:cs="Arial"/>
          <w:szCs w:val="22"/>
          <w:lang w:eastAsia="en-US"/>
        </w:rPr>
      </w:pPr>
      <w:r w:rsidRPr="001A034E">
        <w:rPr>
          <w:rFonts w:cs="Arial"/>
          <w:szCs w:val="22"/>
          <w:lang w:eastAsia="en-US"/>
        </w:rPr>
        <w:t>Citez deux atouts qui expliquent la réussite du quartier londonien de la City.</w:t>
      </w:r>
    </w:p>
    <w:p w:rsidR="001A034E" w:rsidRPr="001A034E" w:rsidRDefault="001A034E" w:rsidP="001A034E">
      <w:pPr>
        <w:numPr>
          <w:ilvl w:val="0"/>
          <w:numId w:val="3"/>
        </w:numPr>
        <w:spacing w:after="0" w:line="240" w:lineRule="auto"/>
        <w:ind w:left="360"/>
        <w:contextualSpacing/>
        <w:rPr>
          <w:rFonts w:cs="Arial"/>
          <w:szCs w:val="22"/>
          <w:lang w:eastAsia="en-US"/>
        </w:rPr>
      </w:pPr>
      <w:r w:rsidRPr="001A034E">
        <w:rPr>
          <w:rFonts w:cs="Arial"/>
          <w:szCs w:val="22"/>
          <w:lang w:eastAsia="en-US"/>
        </w:rPr>
        <w:t xml:space="preserve">D’après le texte, quelles sont les autres activités qui se sont développées dans le Grand Londres ? </w:t>
      </w:r>
    </w:p>
    <w:p w:rsidR="001A034E" w:rsidRPr="001A034E" w:rsidRDefault="001A034E" w:rsidP="001A034E">
      <w:pPr>
        <w:numPr>
          <w:ilvl w:val="0"/>
          <w:numId w:val="3"/>
        </w:numPr>
        <w:spacing w:after="0" w:line="240" w:lineRule="auto"/>
        <w:ind w:left="360"/>
        <w:contextualSpacing/>
        <w:rPr>
          <w:rFonts w:cs="Arial"/>
          <w:szCs w:val="22"/>
          <w:lang w:eastAsia="en-US"/>
        </w:rPr>
      </w:pPr>
      <w:r w:rsidRPr="001A034E">
        <w:rPr>
          <w:rFonts w:cs="Arial"/>
          <w:szCs w:val="22"/>
          <w:lang w:eastAsia="en-US"/>
        </w:rPr>
        <w:t xml:space="preserve">Relevez les infrastructures de transports et de communications qui font de Londres une métropole mondiale. </w:t>
      </w:r>
    </w:p>
    <w:p w:rsidR="001A034E" w:rsidRPr="001A034E" w:rsidRDefault="001A034E" w:rsidP="001A034E">
      <w:pPr>
        <w:numPr>
          <w:ilvl w:val="0"/>
          <w:numId w:val="3"/>
        </w:numPr>
        <w:spacing w:after="0" w:line="240" w:lineRule="auto"/>
        <w:ind w:left="360"/>
        <w:contextualSpacing/>
        <w:rPr>
          <w:rFonts w:cs="Arial"/>
          <w:szCs w:val="22"/>
          <w:lang w:eastAsia="en-US"/>
        </w:rPr>
      </w:pPr>
      <w:r w:rsidRPr="001A034E">
        <w:rPr>
          <w:rFonts w:cs="Arial"/>
          <w:szCs w:val="22"/>
          <w:lang w:eastAsia="en-US"/>
        </w:rPr>
        <w:t xml:space="preserve">Quelles sont les limites de la puissance londonienne visibles sur la carte ? </w:t>
      </w:r>
    </w:p>
    <w:p w:rsidR="001A034E" w:rsidRPr="001A034E" w:rsidRDefault="001A034E" w:rsidP="001A034E">
      <w:pPr>
        <w:numPr>
          <w:ilvl w:val="0"/>
          <w:numId w:val="3"/>
        </w:numPr>
        <w:spacing w:after="0" w:line="240" w:lineRule="auto"/>
        <w:ind w:left="360"/>
        <w:contextualSpacing/>
        <w:rPr>
          <w:rFonts w:cs="Arial"/>
          <w:szCs w:val="22"/>
          <w:lang w:eastAsia="en-US"/>
        </w:rPr>
      </w:pPr>
      <w:r w:rsidRPr="001A034E">
        <w:rPr>
          <w:rFonts w:cs="Arial"/>
          <w:szCs w:val="22"/>
          <w:lang w:eastAsia="en-US"/>
        </w:rPr>
        <w:t>Justifiez l’affirmation suivante : Londres est une métropole de rang mondial par sa puissance économique, son rayonnement culturel et ses connexions mondiales.</w:t>
      </w: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ECE" w:rsidRDefault="00E44ECE" w:rsidP="0053612B">
      <w:pPr>
        <w:spacing w:after="0" w:line="240" w:lineRule="auto"/>
      </w:pPr>
      <w:r>
        <w:separator/>
      </w:r>
    </w:p>
  </w:endnote>
  <w:endnote w:type="continuationSeparator" w:id="0">
    <w:p w:rsidR="00E44ECE" w:rsidRDefault="00E44EC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76BA3" w:rsidRPr="00776BA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76BA3" w:rsidRPr="00776BA3">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76BA3" w:rsidRPr="00776BA3">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76BA3" w:rsidRPr="00776BA3">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ECE" w:rsidRDefault="00E44ECE" w:rsidP="0053612B">
      <w:pPr>
        <w:spacing w:after="0" w:line="240" w:lineRule="auto"/>
      </w:pPr>
      <w:r>
        <w:separator/>
      </w:r>
    </w:p>
  </w:footnote>
  <w:footnote w:type="continuationSeparator" w:id="0">
    <w:p w:rsidR="00E44ECE" w:rsidRDefault="00E44EC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07"/>
    <w:rsid w:val="000134A9"/>
    <w:rsid w:val="000508EF"/>
    <w:rsid w:val="00070B07"/>
    <w:rsid w:val="000A3345"/>
    <w:rsid w:val="000C6554"/>
    <w:rsid w:val="00103C42"/>
    <w:rsid w:val="001056A2"/>
    <w:rsid w:val="00116AFA"/>
    <w:rsid w:val="00121498"/>
    <w:rsid w:val="00133B59"/>
    <w:rsid w:val="001424D6"/>
    <w:rsid w:val="001532D0"/>
    <w:rsid w:val="001718FD"/>
    <w:rsid w:val="001771F9"/>
    <w:rsid w:val="001A034E"/>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76BA3"/>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27C2E"/>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3498"/>
    <w:rsid w:val="00CB5AF5"/>
    <w:rsid w:val="00CB6093"/>
    <w:rsid w:val="00CC0053"/>
    <w:rsid w:val="00D15825"/>
    <w:rsid w:val="00D545E4"/>
    <w:rsid w:val="00D760A4"/>
    <w:rsid w:val="00DF420B"/>
    <w:rsid w:val="00E32F53"/>
    <w:rsid w:val="00E33B39"/>
    <w:rsid w:val="00E35FD3"/>
    <w:rsid w:val="00E3694F"/>
    <w:rsid w:val="00E44ECE"/>
    <w:rsid w:val="00E51C64"/>
    <w:rsid w:val="00E5600F"/>
    <w:rsid w:val="00E63874"/>
    <w:rsid w:val="00E80D3C"/>
    <w:rsid w:val="00EA0C7A"/>
    <w:rsid w:val="00EE1F69"/>
    <w:rsid w:val="00EF0FAA"/>
    <w:rsid w:val="00F03BC8"/>
    <w:rsid w:val="00F06AF1"/>
    <w:rsid w:val="00F074C8"/>
    <w:rsid w:val="00F13990"/>
    <w:rsid w:val="00F551D6"/>
    <w:rsid w:val="00F912C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1A034E"/>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vlyonduchere.org" TargetMode="External"/><Relationship Id="rId13" Type="http://schemas.openxmlformats.org/officeDocument/2006/relationships/hyperlink" Target="https://hist-geographie.dis.ac-guyane.fr/IMG/pdf/dossier_fiches_groupe.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tructioncayola.com/batiment/article/2015/06/25/100663/dans-quartier-duchere-lyon-colas-passe-barre-des-20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https://www.constructioncayola.com/e-docs/00/01/89/37/carac_vignette_1.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1089</Words>
  <Characters>5991</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2023-01-25T15:41:00Z</dcterms:created>
  <dcterms:modified xsi:type="dcterms:W3CDTF">2023-01-25T20:09:00Z</dcterms:modified>
</cp:coreProperties>
</file>