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735ADC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35ADC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AD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AD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735ADC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735ADC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35ADC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735AD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735ADC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735AD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35ADC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AD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AD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AD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735AD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735AD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735AD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735ADC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35AD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735ADC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735AD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735ADC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8</w:t>
            </w:r>
            <w:r w:rsidR="00735AD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735ADC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735ADC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8F1AC3" w:rsidRPr="00A77456" w:rsidRDefault="00735ADC" w:rsidP="008F1AC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8F1AC3" w:rsidRPr="00A77456" w:rsidRDefault="00735ADC" w:rsidP="008F1AC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8F1AC3" w:rsidRPr="00D87AD1" w:rsidRDefault="00735ADC" w:rsidP="008F1AC3">
      <w:pPr>
        <w:spacing w:after="120"/>
        <w:rPr>
          <w:b/>
          <w:sz w:val="22"/>
        </w:rPr>
      </w:pPr>
      <w:r>
        <w:rPr>
          <w:b/>
          <w:sz w:val="28"/>
        </w:rPr>
        <w:t>Les impacts de la combustion sur l’environnement et la santé</w:t>
      </w:r>
    </w:p>
    <w:p w:rsidR="008F1AC3" w:rsidRPr="008F1AC3" w:rsidRDefault="00735ADC" w:rsidP="00D83648">
      <w:pPr>
        <w:spacing w:after="480"/>
        <w:rPr>
          <w:i/>
        </w:rPr>
      </w:pPr>
      <w:r w:rsidRPr="00D74F67">
        <w:rPr>
          <w:i/>
        </w:rPr>
        <w:t>Sur 10 points</w:t>
      </w:r>
    </w:p>
    <w:p w:rsidR="00D82CFD" w:rsidRPr="00587BCF" w:rsidRDefault="00735ADC" w:rsidP="00FE546F">
      <w:pPr>
        <w:spacing w:after="120"/>
        <w:jc w:val="both"/>
        <w:rPr>
          <w:rFonts w:cs="Arial"/>
        </w:rPr>
      </w:pPr>
      <w:r w:rsidRPr="00587BCF">
        <w:rPr>
          <w:rFonts w:cs="Arial"/>
        </w:rPr>
        <w:t xml:space="preserve">La combustion de carburants fossiles et de la biomasse libère du dioxyde de carbone qui a un impact environnemental majeur. </w:t>
      </w:r>
      <w:r>
        <w:rPr>
          <w:rFonts w:cs="Arial"/>
        </w:rPr>
        <w:t xml:space="preserve"> </w:t>
      </w:r>
    </w:p>
    <w:p w:rsidR="00D82CFD" w:rsidRPr="00587BCF" w:rsidRDefault="00735ADC" w:rsidP="00FE546F">
      <w:pPr>
        <w:spacing w:after="120"/>
        <w:jc w:val="both"/>
        <w:rPr>
          <w:rFonts w:cs="Arial"/>
        </w:rPr>
      </w:pPr>
      <w:r w:rsidRPr="00587BCF">
        <w:rPr>
          <w:rFonts w:cs="Arial"/>
        </w:rPr>
        <w:t>Il est également reconnu par l’Organisation mondiale de la santé (OMS) que la santé publique est impactée par la pollution de l’ai</w:t>
      </w:r>
      <w:r w:rsidRPr="00587BCF">
        <w:rPr>
          <w:rFonts w:cs="Arial"/>
        </w:rPr>
        <w:t>r. Le Ministère des Solidarités et de la Santé estime qu’environ 48 000 personnes décèdent chaque année des effets de la pollution de l’air en France.</w:t>
      </w:r>
    </w:p>
    <w:p w:rsidR="00D82CFD" w:rsidRPr="00587BCF" w:rsidRDefault="00735ADC" w:rsidP="00D83648">
      <w:pPr>
        <w:spacing w:after="480"/>
        <w:jc w:val="both"/>
        <w:rPr>
          <w:rFonts w:cs="Arial"/>
        </w:rPr>
      </w:pPr>
      <w:r w:rsidRPr="00587BCF">
        <w:rPr>
          <w:rFonts w:cs="Arial"/>
        </w:rPr>
        <w:t>On se propose d’étudier la part et les impacts de la combustion de carburants fossiles et de biomasse sur</w:t>
      </w:r>
      <w:r w:rsidRPr="00587BCF">
        <w:rPr>
          <w:rFonts w:cs="Arial"/>
        </w:rPr>
        <w:t xml:space="preserve"> la santé humaine.</w:t>
      </w:r>
    </w:p>
    <w:tbl>
      <w:tblPr>
        <w:tblW w:w="938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5" w:type="dxa"/>
          <w:left w:w="3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80"/>
      </w:tblGrid>
      <w:tr w:rsidR="00D82CFD" w:rsidRPr="00587BCF" w:rsidTr="00B7433F">
        <w:trPr>
          <w:trHeight w:val="5272"/>
        </w:trPr>
        <w:tc>
          <w:tcPr>
            <w:tcW w:w="938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30" w:type="dxa"/>
            </w:tcMar>
          </w:tcPr>
          <w:p w:rsidR="00D82CFD" w:rsidRPr="00587BCF" w:rsidRDefault="00735ADC" w:rsidP="00626D88">
            <w:pPr>
              <w:spacing w:after="240"/>
              <w:ind w:left="1806" w:right="909" w:hanging="1701"/>
              <w:jc w:val="both"/>
              <w:rPr>
                <w:rFonts w:cs="Arial"/>
              </w:rPr>
            </w:pPr>
            <w:r w:rsidRPr="00587BCF">
              <w:rPr>
                <w:rFonts w:cs="Arial"/>
                <w:b/>
                <w:bCs/>
                <w:u w:val="single"/>
              </w:rPr>
              <w:t>Document 1 :</w:t>
            </w:r>
            <w:r>
              <w:rPr>
                <w:rFonts w:cs="Arial"/>
                <w:b/>
                <w:bCs/>
              </w:rPr>
              <w:t>   P</w:t>
            </w:r>
            <w:r w:rsidRPr="00587BCF">
              <w:rPr>
                <w:rFonts w:cs="Arial"/>
                <w:b/>
                <w:bCs/>
              </w:rPr>
              <w:t>roduction de dioxyde de carbone lors de la combustion de carburants fossiles et de la biomasse</w:t>
            </w:r>
            <w:r w:rsidRPr="00587BCF">
              <w:rPr>
                <w:rFonts w:cs="Arial"/>
                <w:b/>
                <w:bCs/>
                <w:u w:val="single"/>
              </w:rPr>
              <w:t xml:space="preserve"> 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939"/>
              <w:gridCol w:w="5424"/>
            </w:tblGrid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bCs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b/>
                      <w:sz w:val="22"/>
                    </w:rPr>
                    <w:t>Équation de la réaction</w:t>
                  </w:r>
                </w:p>
              </w:tc>
            </w:tr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 méthane CH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4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eastAsia="Times New Roman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CH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4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+ 2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+ 2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 modélisée par l’octane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8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18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8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18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+ 25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16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+18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  <w:tr w:rsidR="00FE546F" w:rsidRPr="00587BCF" w:rsidTr="008C2952">
              <w:trPr>
                <w:trHeight w:val="357"/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 (bois)</w:t>
                  </w:r>
                  <w:r w:rsidRPr="00C0092E">
                    <w:rPr>
                      <w:rFonts w:ascii="Arial" w:hAnsi="Arial"/>
                      <w:sz w:val="22"/>
                    </w:rPr>
                    <w:br/>
                    <w:t>modélisée par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6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10</w:t>
                  </w:r>
                  <w:r w:rsidRPr="00C0092E">
                    <w:rPr>
                      <w:rFonts w:ascii="Arial" w:hAnsi="Arial"/>
                      <w:sz w:val="22"/>
                    </w:rPr>
                    <w:t>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5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6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10</w:t>
                  </w:r>
                  <w:r w:rsidRPr="00C0092E">
                    <w:rPr>
                      <w:rFonts w:ascii="Arial" w:hAnsi="Arial"/>
                      <w:sz w:val="22"/>
                    </w:rPr>
                    <w:t>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5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+ 6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6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+ 5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</w:tbl>
          <w:p w:rsidR="00FE546F" w:rsidRDefault="00735ADC" w:rsidP="00626D88">
            <w:pPr>
              <w:spacing w:before="240" w:after="120"/>
              <w:rPr>
                <w:rFonts w:cs="Arial"/>
                <w:i/>
                <w:iCs/>
              </w:rPr>
            </w:pPr>
            <w:r>
              <w:rPr>
                <w:b/>
                <w:bCs/>
              </w:rPr>
              <w:t xml:space="preserve">  </w:t>
            </w:r>
            <w:r w:rsidRPr="00587BCF">
              <w:rPr>
                <w:b/>
                <w:bCs/>
              </w:rPr>
              <w:t>Énergie massique libérée p</w:t>
            </w:r>
            <w:r w:rsidRPr="00587BCF">
              <w:rPr>
                <w:b/>
                <w:bCs/>
                <w:iCs/>
              </w:rPr>
              <w:t>ar kg de combustible brûlé</w:t>
            </w:r>
            <w:r w:rsidRPr="00D4028B">
              <w:rPr>
                <w:b/>
                <w:bCs/>
                <w:iCs/>
              </w:rPr>
              <w:t> </w:t>
            </w:r>
            <w:r w:rsidRPr="00D4028B">
              <w:rPr>
                <w:b/>
              </w:rPr>
              <w:t>: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2091"/>
              <w:gridCol w:w="2091"/>
              <w:gridCol w:w="2091"/>
            </w:tblGrid>
            <w:tr w:rsidR="00FE546F" w:rsidRPr="00587BCF" w:rsidTr="00D4028B">
              <w:trPr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</w:t>
                  </w:r>
                </w:p>
              </w:tc>
            </w:tr>
            <w:tr w:rsidR="00FE546F" w:rsidRPr="00587BCF" w:rsidTr="00D83648">
              <w:trPr>
                <w:trHeight w:val="680"/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Énergie massique libérée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50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45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35ADC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 xml:space="preserve">17 </w:t>
                  </w:r>
                  <w:r w:rsidRPr="00C0092E">
                    <w:rPr>
                      <w:rFonts w:ascii="Arial" w:hAnsi="Arial"/>
                      <w:sz w:val="22"/>
                    </w:rPr>
                    <w:t>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</w:tr>
          </w:tbl>
          <w:p w:rsidR="00A7477B" w:rsidRPr="00D83648" w:rsidRDefault="00735ADC" w:rsidP="00D83648">
            <w:pPr>
              <w:spacing w:after="0"/>
              <w:rPr>
                <w:rFonts w:cs="Arial"/>
                <w:sz w:val="12"/>
                <w:szCs w:val="22"/>
              </w:rPr>
            </w:pPr>
          </w:p>
        </w:tc>
      </w:tr>
      <w:tr w:rsidR="00A7477B" w:rsidRPr="00587BCF" w:rsidTr="00B7433F">
        <w:trPr>
          <w:cantSplit/>
        </w:trPr>
        <w:tc>
          <w:tcPr>
            <w:tcW w:w="9380" w:type="dxa"/>
            <w:tcBorders>
              <w:top w:val="nil"/>
            </w:tcBorders>
            <w:shd w:val="clear" w:color="auto" w:fill="auto"/>
            <w:tcMar>
              <w:left w:w="30" w:type="dxa"/>
            </w:tcMar>
          </w:tcPr>
          <w:p w:rsidR="00A7477B" w:rsidRPr="00587BCF" w:rsidRDefault="00735ADC" w:rsidP="00D83648">
            <w:pPr>
              <w:pStyle w:val="Contenudetableau"/>
              <w:spacing w:before="120" w:after="12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lastRenderedPageBreak/>
              <w:t xml:space="preserve">  </w:t>
            </w:r>
            <w:r w:rsidRPr="00587BCF">
              <w:rPr>
                <w:rFonts w:ascii="Arial" w:hAnsi="Arial"/>
                <w:b/>
                <w:bCs/>
              </w:rPr>
              <w:t>Masse de CO</w:t>
            </w:r>
            <w:r w:rsidRPr="00587BCF">
              <w:rPr>
                <w:rFonts w:ascii="Arial" w:hAnsi="Arial"/>
                <w:b/>
                <w:bCs/>
                <w:vertAlign w:val="subscript"/>
              </w:rPr>
              <w:t>2</w:t>
            </w:r>
            <w:r w:rsidRPr="00587BCF">
              <w:rPr>
                <w:rFonts w:ascii="Arial" w:hAnsi="Arial"/>
                <w:b/>
                <w:bCs/>
              </w:rPr>
              <w:t xml:space="preserve"> produite pour 1 MJ d’énergie obtenue :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2091"/>
              <w:gridCol w:w="2091"/>
              <w:gridCol w:w="2091"/>
            </w:tblGrid>
            <w:tr w:rsidR="00A7477B" w:rsidRPr="00587BCF" w:rsidTr="005A5911">
              <w:trPr>
                <w:trHeight w:val="469"/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35ADC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35ADC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35ADC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35ADC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</w:t>
                  </w:r>
                </w:p>
              </w:tc>
            </w:tr>
            <w:tr w:rsidR="00A7477B" w:rsidRPr="00587BCF" w:rsidTr="005A5911">
              <w:trPr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35ADC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Masse de CO</w:t>
                  </w:r>
                  <w:r w:rsidRPr="00C0092E">
                    <w:rPr>
                      <w:rFonts w:ascii="Arial" w:hAnsi="Arial"/>
                      <w:b/>
                      <w:bCs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 xml:space="preserve"> produite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35ADC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56 g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EEECE1" w:themeFill="background2"/>
                  <w:tcMar>
                    <w:left w:w="30" w:type="dxa"/>
                  </w:tcMar>
                  <w:vAlign w:val="center"/>
                </w:tcPr>
                <w:p w:rsidR="00A7477B" w:rsidRPr="00C0092E" w:rsidRDefault="00735ADC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i/>
                      <w:sz w:val="22"/>
                    </w:rPr>
                  </w:pPr>
                  <w:r w:rsidRPr="00C0092E">
                    <w:rPr>
                      <w:rFonts w:ascii="Arial" w:hAnsi="Arial"/>
                      <w:i/>
                      <w:sz w:val="22"/>
                    </w:rPr>
                    <w:t>À calculer à la question 5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35ADC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95 g</w:t>
                  </w:r>
                </w:p>
              </w:tc>
            </w:tr>
          </w:tbl>
          <w:p w:rsidR="00A7477B" w:rsidRPr="00587BCF" w:rsidRDefault="00735ADC" w:rsidP="00D83648">
            <w:pPr>
              <w:spacing w:before="240" w:after="120"/>
              <w:ind w:left="1806" w:right="124" w:hanging="1701"/>
              <w:jc w:val="right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Source : d’après J.-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C</w:t>
            </w:r>
            <w:r>
              <w:rPr>
                <w:rFonts w:cs="Arial"/>
                <w:i/>
                <w:iCs/>
                <w:sz w:val="20"/>
                <w:szCs w:val="20"/>
              </w:rPr>
              <w:t>.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 xml:space="preserve"> Guibet, Publications de l’In</w:t>
            </w:r>
            <w:r>
              <w:rPr>
                <w:rFonts w:cs="Arial"/>
                <w:i/>
                <w:iCs/>
                <w:sz w:val="20"/>
                <w:szCs w:val="20"/>
              </w:rPr>
              <w:t>stitut français du pétrole,1997</w:t>
            </w:r>
            <w:r>
              <w:rPr>
                <w:rFonts w:cs="Arial"/>
                <w:i/>
                <w:iCs/>
                <w:sz w:val="20"/>
                <w:szCs w:val="20"/>
              </w:rPr>
              <w:br/>
              <w:t>et W.-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M. Haynes, CRC Handbook of Chemistry and Physics,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2012</w:t>
            </w:r>
          </w:p>
        </w:tc>
      </w:tr>
    </w:tbl>
    <w:p w:rsidR="00FB7193" w:rsidRPr="00587BCF" w:rsidRDefault="00735ADC" w:rsidP="00F61D89">
      <w:pPr>
        <w:spacing w:before="600" w:after="180"/>
        <w:jc w:val="both"/>
        <w:rPr>
          <w:rFonts w:cs="Arial"/>
        </w:rPr>
      </w:pPr>
      <w:r w:rsidRPr="00587BCF">
        <w:rPr>
          <w:rFonts w:cs="Arial"/>
          <w:b/>
          <w:bCs/>
        </w:rPr>
        <w:t>1-</w:t>
      </w:r>
      <w:r w:rsidRPr="00587BCF">
        <w:rPr>
          <w:rFonts w:cs="Arial"/>
        </w:rPr>
        <w:t xml:space="preserve"> </w:t>
      </w:r>
      <w:r>
        <w:rPr>
          <w:rFonts w:cs="Arial"/>
        </w:rPr>
        <w:t>I</w:t>
      </w:r>
      <w:r w:rsidRPr="00587BCF">
        <w:rPr>
          <w:rFonts w:cs="Arial"/>
        </w:rPr>
        <w:t xml:space="preserve">ndiquer le (ou les) combustible(s) </w:t>
      </w:r>
      <w:r>
        <w:rPr>
          <w:rFonts w:cs="Arial"/>
        </w:rPr>
        <w:t xml:space="preserve">mentionnés dans le document 1 </w:t>
      </w:r>
      <w:r w:rsidRPr="00587BCF">
        <w:rPr>
          <w:rFonts w:cs="Arial"/>
        </w:rPr>
        <w:t>pouvant être utilisés comme source(s) d’énergie renouvelable.</w:t>
      </w:r>
    </w:p>
    <w:p w:rsidR="00FB7193" w:rsidRPr="00587BCF" w:rsidRDefault="00735ADC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2-</w:t>
      </w:r>
      <w:r w:rsidRPr="00587BCF">
        <w:rPr>
          <w:rFonts w:cs="Arial"/>
        </w:rPr>
        <w:t xml:space="preserve"> Calculer la masse d’essence, notée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</w:rPr>
        <w:t xml:space="preserve">, nécessaire pour </w:t>
      </w:r>
      <w:r w:rsidRPr="00587BCF">
        <w:rPr>
          <w:rFonts w:cs="Arial"/>
        </w:rPr>
        <w:t>obtenir une énergie de valeur 1 MJ.</w:t>
      </w:r>
    </w:p>
    <w:p w:rsidR="00FB7193" w:rsidRPr="00587BCF" w:rsidRDefault="00735ADC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3-</w:t>
      </w:r>
      <w:r w:rsidRPr="00587BCF">
        <w:rPr>
          <w:rFonts w:cs="Arial"/>
        </w:rPr>
        <w:t xml:space="preserve"> Sachant que la masse d’une mole d’essence est égale à</w:t>
      </w:r>
      <w:r>
        <w:rPr>
          <w:rFonts w:cs="Arial"/>
        </w:rPr>
        <w:t xml:space="preserve"> 114 g</w:t>
      </w:r>
      <w:r w:rsidRPr="00587BCF">
        <w:rPr>
          <w:rFonts w:cs="Arial"/>
        </w:rPr>
        <w:t>, vérifier que la quantité de matière, notée</w:t>
      </w:r>
      <w:r w:rsidRPr="00587BCF">
        <w:rPr>
          <w:rFonts w:cs="Arial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  <w:bCs/>
        </w:rPr>
        <w:t xml:space="preserve">, </w:t>
      </w:r>
      <w:r w:rsidRPr="00587BCF">
        <w:rPr>
          <w:rFonts w:cs="Arial"/>
        </w:rPr>
        <w:t>présente dans la masse d’essence nécessaire pour obtenir une énergie de valeur</w:t>
      </w:r>
      <w:r>
        <w:rPr>
          <w:rFonts w:cs="Arial"/>
        </w:rPr>
        <w:t xml:space="preserve"> 1 MJ</w:t>
      </w:r>
      <w:r w:rsidRPr="00587BCF">
        <w:rPr>
          <w:rFonts w:cs="Arial"/>
        </w:rPr>
        <w:t xml:space="preserve"> vaut</w:t>
      </w:r>
      <w:r w:rsidRPr="00587BCF">
        <w:rPr>
          <w:rFonts w:cs="Arial"/>
          <w:b/>
          <w:bCs/>
        </w:rPr>
        <w:t xml:space="preserve"> </w:t>
      </w:r>
      <w:r w:rsidRPr="00587BCF">
        <w:rPr>
          <w:rFonts w:cs="Arial"/>
        </w:rPr>
        <w:t xml:space="preserve">environ :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</m:t>
            </m:r>
            <m:r>
              <m:rPr>
                <m:sty m:val="p"/>
              </m:rPr>
              <w:rPr>
                <w:rFonts w:ascii="Cambria Math" w:hAnsi="Cambria Math" w:cs="Arial"/>
              </w:rPr>
              <m:t>ssence</m:t>
            </m:r>
          </m:sub>
        </m:sSub>
        <m:r>
          <w:rPr>
            <w:rFonts w:ascii="Cambria Math" w:hAnsi="Cambria Math" w:cs="Arial"/>
          </w:rPr>
          <m:t xml:space="preserve">=0,2 </m:t>
        </m:r>
        <m:r>
          <m:rPr>
            <m:sty m:val="p"/>
          </m:rPr>
          <w:rPr>
            <w:rFonts w:ascii="Cambria Math" w:hAnsi="Cambria Math" w:cs="Arial"/>
          </w:rPr>
          <m:t>mol</m:t>
        </m:r>
      </m:oMath>
      <w:r w:rsidRPr="00587BCF">
        <w:rPr>
          <w:rFonts w:cs="Arial"/>
        </w:rPr>
        <w:t>.</w:t>
      </w:r>
    </w:p>
    <w:p w:rsidR="00FB7193" w:rsidRPr="00587BCF" w:rsidRDefault="00735ADC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 xml:space="preserve">4- </w:t>
      </w:r>
      <w:r w:rsidRPr="00587BCF">
        <w:rPr>
          <w:rFonts w:cs="Arial"/>
        </w:rPr>
        <w:t xml:space="preserve">À l’aide de l’équation de la réaction modélisant la combustion de l’essence, vérifier que la quantité de matière de dioxyde de carbone produite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</m:oMath>
      <w:r w:rsidRPr="00587BCF">
        <w:rPr>
          <w:rFonts w:cs="Arial"/>
        </w:rPr>
        <w:t xml:space="preserve"> est telle que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  <m:r>
          <w:rPr>
            <w:rFonts w:ascii="Cambria Math" w:hAnsi="Cambria Math" w:cs="Arial"/>
          </w:rPr>
          <m:t>=8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</w:rPr>
        <w:t xml:space="preserve">.  Calculer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</m:oMath>
      <w:r w:rsidRPr="00587BCF">
        <w:rPr>
          <w:rFonts w:cs="Arial"/>
        </w:rPr>
        <w:t>.</w:t>
      </w:r>
    </w:p>
    <w:p w:rsidR="00FB7193" w:rsidRPr="00587BCF" w:rsidRDefault="00735ADC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 xml:space="preserve">5- </w:t>
      </w:r>
      <w:r w:rsidRPr="00587BCF">
        <w:rPr>
          <w:rFonts w:cs="Arial"/>
        </w:rPr>
        <w:t>La masse d’une mole de dioxyde de c</w:t>
      </w:r>
      <w:r w:rsidRPr="00587BCF">
        <w:rPr>
          <w:rFonts w:cs="Arial"/>
        </w:rPr>
        <w:t>arbone étant égale à</w:t>
      </w:r>
      <w:r>
        <w:rPr>
          <w:rFonts w:cs="Arial"/>
        </w:rPr>
        <w:t xml:space="preserve"> 44 g</w:t>
      </w:r>
      <w:r w:rsidRPr="00587BCF">
        <w:rPr>
          <w:rFonts w:cs="Arial"/>
        </w:rPr>
        <w:t>, déterminer la masse de CO</w:t>
      </w:r>
      <w:r w:rsidRPr="00587BCF">
        <w:rPr>
          <w:rFonts w:cs="Arial"/>
          <w:vertAlign w:val="subscript"/>
        </w:rPr>
        <w:t>2</w:t>
      </w:r>
      <w:r w:rsidRPr="00587BCF">
        <w:rPr>
          <w:rFonts w:cs="Arial"/>
        </w:rPr>
        <w:t xml:space="preserve"> libérée dans l’atmosphère par la combustion de l’essence pour obtenir une énergie de valeur 1 MJ.</w:t>
      </w:r>
    </w:p>
    <w:p w:rsidR="00D82CFD" w:rsidRDefault="00735ADC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6-</w:t>
      </w:r>
      <w:r>
        <w:rPr>
          <w:rFonts w:cs="Arial"/>
        </w:rPr>
        <w:t> </w:t>
      </w:r>
      <w:r w:rsidRPr="00587BCF">
        <w:rPr>
          <w:rFonts w:cs="Arial"/>
        </w:rPr>
        <w:t xml:space="preserve">Comparer la masse de dioxyde de carbone émise par MJ produit pour chaque combustible du </w:t>
      </w:r>
      <w:r w:rsidRPr="00587BCF">
        <w:rPr>
          <w:rFonts w:cs="Arial"/>
          <w:bCs/>
        </w:rPr>
        <w:t>document 1 et</w:t>
      </w:r>
      <w:r w:rsidRPr="00587BCF">
        <w:rPr>
          <w:rFonts w:cs="Arial"/>
          <w:bCs/>
        </w:rPr>
        <w:t xml:space="preserve"> i</w:t>
      </w:r>
      <w:r w:rsidRPr="00587BCF">
        <w:rPr>
          <w:rFonts w:cs="Arial"/>
        </w:rPr>
        <w:t>ndiquer quel est l’impact environnemental</w:t>
      </w:r>
      <w:r>
        <w:rPr>
          <w:rFonts w:cs="Arial"/>
        </w:rPr>
        <w:t xml:space="preserve"> majeur du dioxyde de carbone.</w:t>
      </w:r>
    </w:p>
    <w:p w:rsidR="006175AE" w:rsidRDefault="00735ADC" w:rsidP="006175AE">
      <w:pPr>
        <w:spacing w:after="240"/>
        <w:jc w:val="both"/>
        <w:rPr>
          <w:rFonts w:cs="Arial"/>
        </w:rPr>
      </w:pPr>
      <w:r w:rsidRPr="00587BCF">
        <w:rPr>
          <w:rFonts w:cs="Arial"/>
          <w:b/>
          <w:bCs/>
        </w:rPr>
        <w:t>7-</w:t>
      </w:r>
      <w:r w:rsidRPr="00587BCF">
        <w:rPr>
          <w:rFonts w:cs="Arial"/>
        </w:rPr>
        <w:t xml:space="preserve"> Identifier les 3 secteurs d’activité émettant le plus de particules fines,</w:t>
      </w:r>
      <w:r>
        <w:rPr>
          <w:rFonts w:cs="Arial"/>
        </w:rPr>
        <w:t xml:space="preserve"> à partir du d</w:t>
      </w:r>
      <w:r w:rsidRPr="00587BCF">
        <w:rPr>
          <w:rFonts w:cs="Arial"/>
        </w:rPr>
        <w:t>ocument 2</w:t>
      </w:r>
      <w:r>
        <w:rPr>
          <w:rFonts w:cs="Arial"/>
        </w:rPr>
        <w:t xml:space="preserve"> de la page suivante</w:t>
      </w:r>
      <w:r w:rsidRPr="00587BCF">
        <w:rPr>
          <w:rFonts w:cs="Arial"/>
        </w:rPr>
        <w:t>.</w:t>
      </w:r>
    </w:p>
    <w:p w:rsidR="00F61D89" w:rsidRDefault="00735ADC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F61D89" w:rsidRPr="00587BCF" w:rsidRDefault="00735ADC" w:rsidP="006175AE">
      <w:pPr>
        <w:spacing w:after="240"/>
        <w:jc w:val="both"/>
        <w:rPr>
          <w:rFonts w:cs="Arial"/>
        </w:rPr>
      </w:pPr>
    </w:p>
    <w:p w:rsidR="006175AE" w:rsidRPr="00587BCF" w:rsidRDefault="00735ADC" w:rsidP="00C5771D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left="1701" w:hanging="1701"/>
        <w:jc w:val="both"/>
        <w:rPr>
          <w:rFonts w:ascii="Arial" w:hAnsi="Arial"/>
        </w:rPr>
      </w:pPr>
      <w:r w:rsidRPr="00587BCF">
        <w:rPr>
          <w:rFonts w:ascii="Arial" w:hAnsi="Arial"/>
          <w:b/>
          <w:bCs/>
          <w:u w:val="single"/>
        </w:rPr>
        <w:t>Document 2 :</w:t>
      </w:r>
      <w:r>
        <w:rPr>
          <w:rFonts w:ascii="Arial" w:hAnsi="Arial"/>
          <w:b/>
          <w:bCs/>
        </w:rPr>
        <w:t>  R</w:t>
      </w:r>
      <w:r w:rsidRPr="00587BCF">
        <w:rPr>
          <w:rFonts w:ascii="Arial" w:hAnsi="Arial"/>
          <w:b/>
          <w:bCs/>
        </w:rPr>
        <w:t xml:space="preserve">épartition (en %) par grands secteurs d’activité des émissions annuelles de particules fines </w:t>
      </w:r>
      <w:r>
        <w:rPr>
          <w:rFonts w:ascii="Arial" w:hAnsi="Arial"/>
          <w:b/>
          <w:bCs/>
        </w:rPr>
        <w:t xml:space="preserve">de dimensions </w:t>
      </w:r>
      <w:r w:rsidRPr="00587BCF">
        <w:rPr>
          <w:rFonts w:ascii="Arial" w:hAnsi="Arial"/>
          <w:b/>
          <w:bCs/>
        </w:rPr>
        <w:t xml:space="preserve">inférieures à </w:t>
      </w:r>
      <m:oMath>
        <m:r>
          <m:rPr>
            <m:sty m:val="bi"/>
          </m:rPr>
          <w:rPr>
            <w:rFonts w:ascii="Cambria Math" w:hAnsi="Cambria Math"/>
          </w:rPr>
          <m:t>2</m:t>
        </m:r>
        <m:r>
          <m:rPr>
            <m:sty m:val="bi"/>
          </m:rPr>
          <w:rPr>
            <w:rFonts w:ascii="Cambria Math" w:hAnsi="Cambria Math"/>
          </w:rPr>
          <m:t>,</m:t>
        </m:r>
        <m:r>
          <m:rPr>
            <m:sty m:val="bi"/>
          </m:rPr>
          <w:rPr>
            <w:rFonts w:ascii="Cambria Math" w:hAnsi="Cambria Math"/>
          </w:rPr>
          <m:t>5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μm</m:t>
        </m:r>
      </m:oMath>
      <w:r w:rsidRPr="00587BCF">
        <w:rPr>
          <w:rFonts w:ascii="Arial" w:hAnsi="Arial"/>
          <w:b/>
          <w:bCs/>
        </w:rPr>
        <w:t xml:space="preserve"> (PM 2,5) en Ile-de-France</w:t>
      </w:r>
      <w:r w:rsidRPr="00587BCF">
        <w:rPr>
          <w:rFonts w:ascii="Arial" w:hAnsi="Arial"/>
        </w:rPr>
        <w:t xml:space="preserve"> </w:t>
      </w:r>
    </w:p>
    <w:p w:rsidR="006175AE" w:rsidRDefault="00735ADC" w:rsidP="006175AE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bCs/>
          <w:i/>
          <w:sz w:val="20"/>
        </w:rPr>
      </w:pPr>
      <w:r w:rsidRPr="00587BCF">
        <w:rPr>
          <w:rFonts w:cs="Arial"/>
          <w:b/>
          <w:bCs/>
          <w:noProof/>
        </w:rPr>
        <w:drawing>
          <wp:inline distT="0" distB="0" distL="0" distR="0" wp14:anchorId="53455DC4" wp14:editId="11E43FA1">
            <wp:extent cx="4689960" cy="2253740"/>
            <wp:effectExtent l="0" t="0" r="0" b="0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2" b="1695"/>
                    <a:stretch/>
                  </pic:blipFill>
                  <pic:spPr bwMode="auto">
                    <a:xfrm>
                      <a:off x="0" y="0"/>
                      <a:ext cx="4718850" cy="2267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75AE" w:rsidRPr="00573428" w:rsidRDefault="00735ADC" w:rsidP="0057342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right"/>
        <w:rPr>
          <w:rFonts w:cs="Arial"/>
          <w:b/>
          <w:bCs/>
        </w:rPr>
      </w:pPr>
      <w:r w:rsidRPr="006175AE">
        <w:rPr>
          <w:rFonts w:cs="Arial"/>
          <w:bCs/>
          <w:i/>
          <w:sz w:val="20"/>
        </w:rPr>
        <w:t xml:space="preserve">Source : d’après </w:t>
      </w:r>
      <w:r w:rsidRPr="006175AE">
        <w:rPr>
          <w:rFonts w:cs="Arial"/>
          <w:i/>
          <w:sz w:val="20"/>
        </w:rPr>
        <w:t>Airparif 2007</w:t>
      </w:r>
    </w:p>
    <w:p w:rsidR="00F61D89" w:rsidRDefault="00735ADC" w:rsidP="00402F3F">
      <w:pPr>
        <w:spacing w:after="240"/>
        <w:jc w:val="both"/>
        <w:rPr>
          <w:rFonts w:cs="Arial"/>
          <w:b/>
          <w:bCs/>
        </w:rPr>
      </w:pPr>
    </w:p>
    <w:p w:rsidR="00DD60D6" w:rsidRDefault="00735ADC" w:rsidP="00402F3F">
      <w:pPr>
        <w:spacing w:after="240"/>
        <w:jc w:val="both"/>
        <w:rPr>
          <w:rFonts w:cs="Arial"/>
        </w:rPr>
      </w:pPr>
      <w:r w:rsidRPr="00587BCF">
        <w:rPr>
          <w:rFonts w:cs="Arial"/>
          <w:b/>
          <w:bCs/>
        </w:rPr>
        <w:t>8-</w:t>
      </w:r>
      <w:r w:rsidRPr="00587BCF">
        <w:rPr>
          <w:rFonts w:cs="Arial"/>
        </w:rPr>
        <w:t xml:space="preserve"> À partir de l’étude présentée dans le document 3</w:t>
      </w:r>
      <w:r>
        <w:rPr>
          <w:rFonts w:cs="Arial"/>
        </w:rPr>
        <w:t xml:space="preserve"> de la page suivante</w:t>
      </w:r>
      <w:r w:rsidRPr="00587BCF">
        <w:rPr>
          <w:rFonts w:cs="Arial"/>
        </w:rPr>
        <w:t xml:space="preserve">, </w:t>
      </w:r>
      <w:r>
        <w:rPr>
          <w:rFonts w:cs="Arial"/>
        </w:rPr>
        <w:t>rédiger un texte argumenté expliquant</w:t>
      </w:r>
      <w:r w:rsidRPr="00587BCF">
        <w:rPr>
          <w:rFonts w:cs="Arial"/>
        </w:rPr>
        <w:t xml:space="preserve"> la signification du chiffre : « 48000 décès par an en France sont dus à la pollution ».</w:t>
      </w:r>
    </w:p>
    <w:p w:rsidR="00DD60D6" w:rsidRDefault="00735ADC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6175AE" w:rsidRPr="00587BCF" w:rsidRDefault="00735ADC" w:rsidP="00402F3F">
      <w:pPr>
        <w:spacing w:after="240"/>
        <w:jc w:val="both"/>
        <w:rPr>
          <w:rFonts w:cs="Arial"/>
        </w:rPr>
      </w:pPr>
    </w:p>
    <w:p w:rsidR="001055C5" w:rsidRPr="00587BCF" w:rsidRDefault="00735ADC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left="1701" w:hanging="1701"/>
        <w:jc w:val="both"/>
        <w:rPr>
          <w:rFonts w:ascii="Arial" w:hAnsi="Arial"/>
          <w:b/>
          <w:bCs/>
        </w:rPr>
      </w:pPr>
      <w:r w:rsidRPr="00587BCF">
        <w:rPr>
          <w:rFonts w:ascii="Arial" w:hAnsi="Arial"/>
          <w:b/>
          <w:bCs/>
          <w:u w:val="single"/>
        </w:rPr>
        <w:t>Document 3 :</w:t>
      </w:r>
      <w:r>
        <w:rPr>
          <w:rFonts w:ascii="Arial" w:hAnsi="Arial"/>
          <w:b/>
          <w:bCs/>
        </w:rPr>
        <w:t>  Im</w:t>
      </w:r>
      <w:r w:rsidRPr="00587BCF">
        <w:rPr>
          <w:rFonts w:ascii="Arial" w:hAnsi="Arial"/>
          <w:b/>
          <w:bCs/>
        </w:rPr>
        <w:t>pacts sanitaires de la pollution de l'air en France (2016)</w:t>
      </w:r>
    </w:p>
    <w:p w:rsidR="00587BCF" w:rsidRPr="00BE4405" w:rsidRDefault="00735ADC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 xml:space="preserve">La plupart des sources de </w:t>
      </w:r>
      <w:r w:rsidRPr="00BE4405">
        <w:rPr>
          <w:rFonts w:ascii="Arial" w:hAnsi="Arial"/>
          <w:sz w:val="22"/>
          <w:szCs w:val="22"/>
        </w:rPr>
        <w:t>pollution atmosphériques émettent des particules fines de diamètre inférieur à 2,5 micromètres (PM</w:t>
      </w:r>
      <w:r w:rsidRPr="00BE4405">
        <w:rPr>
          <w:rFonts w:ascii="Arial" w:hAnsi="Arial"/>
          <w:sz w:val="22"/>
          <w:szCs w:val="22"/>
          <w:vertAlign w:val="subscript"/>
        </w:rPr>
        <w:t>2.5</w:t>
      </w:r>
      <w:r w:rsidRPr="00BE4405">
        <w:rPr>
          <w:rFonts w:ascii="Arial" w:hAnsi="Arial"/>
          <w:sz w:val="22"/>
          <w:szCs w:val="22"/>
        </w:rPr>
        <w:t>) : transports, résidentiel/tertiaire, agriculture, industrie. Leur contribution relative à la pollution atmosphérique varie cependant selon le lieu.</w:t>
      </w:r>
    </w:p>
    <w:p w:rsidR="001055C5" w:rsidRPr="00BE4405" w:rsidRDefault="00735ADC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Désir</w:t>
      </w:r>
      <w:r w:rsidRPr="00BE4405">
        <w:rPr>
          <w:rFonts w:ascii="Arial" w:hAnsi="Arial"/>
          <w:sz w:val="22"/>
          <w:szCs w:val="22"/>
        </w:rPr>
        <w:t>ant déterminer l’effet qu’une réduction de pollution aurait sur la mortalité prématurée en France, les chercheurs ont recueilli pour l’année 2007 les mesures de concentrations moyennes en particules fines PM</w:t>
      </w:r>
      <w:r w:rsidRPr="00BE4405">
        <w:rPr>
          <w:rFonts w:ascii="Arial" w:hAnsi="Arial"/>
          <w:sz w:val="22"/>
          <w:szCs w:val="22"/>
          <w:vertAlign w:val="subscript"/>
        </w:rPr>
        <w:t>2.5</w:t>
      </w:r>
      <w:r w:rsidRPr="00BE4405">
        <w:rPr>
          <w:rFonts w:ascii="Arial" w:hAnsi="Arial"/>
          <w:sz w:val="22"/>
          <w:szCs w:val="22"/>
        </w:rPr>
        <w:t xml:space="preserve"> et le nombre total de décès. </w:t>
      </w:r>
    </w:p>
    <w:p w:rsidR="001055C5" w:rsidRPr="00BE4405" w:rsidRDefault="00735ADC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Ils ont ensuite</w:t>
      </w:r>
      <w:r w:rsidRPr="00BE4405">
        <w:rPr>
          <w:rFonts w:ascii="Arial" w:hAnsi="Arial"/>
          <w:sz w:val="22"/>
          <w:szCs w:val="22"/>
        </w:rPr>
        <w:t xml:space="preserve"> appliqué une relation mathématique, établie dans des études précédentes, afin de calculer l’effet de différents scénarios :</w:t>
      </w:r>
    </w:p>
    <w:p w:rsidR="006E368F" w:rsidRPr="00BE4405" w:rsidRDefault="00735ADC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4,9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valeur que l’on peut mesurer dans des villages de haute montagne à faible activité économique ;</w:t>
      </w:r>
    </w:p>
    <w:p w:rsidR="001055C5" w:rsidRPr="00BE4405" w:rsidRDefault="00735ADC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10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valeur recommandée par l’OMS ;</w:t>
      </w:r>
    </w:p>
    <w:p w:rsidR="001055C5" w:rsidRPr="00BE4405" w:rsidRDefault="00735ADC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15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objectif fixé par le Plan national santé-environnement de 2009.</w:t>
      </w:r>
    </w:p>
    <w:p w:rsidR="001055C5" w:rsidRPr="00BE4405" w:rsidRDefault="00735ADC" w:rsidP="00BE4405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24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La population française en 2019 est de 65 millions d’habitants.</w:t>
      </w:r>
    </w:p>
    <w:p w:rsidR="001055C5" w:rsidRPr="00BE4405" w:rsidRDefault="00735ADC" w:rsidP="00FC6BE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center"/>
        <w:rPr>
          <w:rFonts w:cs="Arial"/>
          <w:b/>
          <w:bCs/>
          <w:iCs/>
          <w:sz w:val="22"/>
          <w:szCs w:val="22"/>
        </w:rPr>
      </w:pPr>
      <w:r w:rsidRPr="00BE4405">
        <w:rPr>
          <w:rFonts w:cs="Arial"/>
          <w:b/>
          <w:bCs/>
          <w:iCs/>
          <w:sz w:val="22"/>
          <w:szCs w:val="22"/>
        </w:rPr>
        <w:t xml:space="preserve">Nombre de morts qui auraient été évités dans </w:t>
      </w:r>
      <w:r w:rsidRPr="00BE4405">
        <w:rPr>
          <w:rFonts w:cs="Arial"/>
          <w:b/>
          <w:bCs/>
          <w:iCs/>
          <w:sz w:val="22"/>
          <w:szCs w:val="22"/>
        </w:rPr>
        <w:t>l’année</w:t>
      </w:r>
      <w:r w:rsidRPr="00BE4405">
        <w:rPr>
          <w:rFonts w:cs="Arial"/>
          <w:b/>
          <w:bCs/>
          <w:iCs/>
          <w:sz w:val="22"/>
          <w:szCs w:val="22"/>
        </w:rPr>
        <w:br/>
        <w:t>selon la modélisation réalisée par les chercheurs</w:t>
      </w:r>
    </w:p>
    <w:p w:rsidR="001055C5" w:rsidRPr="00587BCF" w:rsidRDefault="00735ADC" w:rsidP="006E368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center"/>
        <w:rPr>
          <w:rFonts w:cs="Arial"/>
          <w:i/>
        </w:rPr>
      </w:pPr>
      <w:r w:rsidRPr="00587BCF">
        <w:rPr>
          <w:rFonts w:cs="Arial"/>
          <w:noProof/>
        </w:rPr>
        <w:drawing>
          <wp:inline distT="0" distB="0" distL="0" distR="0" wp14:anchorId="409D566E" wp14:editId="5575F2EA">
            <wp:extent cx="3543300" cy="2573196"/>
            <wp:effectExtent l="0" t="0" r="0" b="0"/>
            <wp:docPr id="2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38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06635" cy="2619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7BCF" w:rsidRPr="00587BCF" w:rsidRDefault="00735ADC" w:rsidP="00DD60D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right"/>
        <w:rPr>
          <w:rFonts w:cs="Arial"/>
          <w:i/>
        </w:rPr>
      </w:pPr>
      <w:r w:rsidRPr="006175AE">
        <w:rPr>
          <w:rFonts w:cs="Arial"/>
          <w:i/>
          <w:sz w:val="20"/>
        </w:rPr>
        <w:t>Source : d’après Santé Publique France</w:t>
      </w:r>
      <w:r w:rsidRPr="00587BCF">
        <w:rPr>
          <w:rFonts w:cs="Arial"/>
          <w:i/>
        </w:rPr>
        <w:t xml:space="preserve"> </w:t>
      </w:r>
    </w:p>
    <w:p w:rsidR="00FF29D6" w:rsidRPr="00587BCF" w:rsidRDefault="00735ADC" w:rsidP="00E06C2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right"/>
        <w:rPr>
          <w:rFonts w:cs="Arial"/>
          <w:sz w:val="18"/>
          <w:szCs w:val="18"/>
        </w:rPr>
      </w:pPr>
      <w:hyperlink r:id="rId12" w:history="1">
        <w:r w:rsidRPr="00587BCF">
          <w:rPr>
            <w:rStyle w:val="Lienhypertexte"/>
            <w:rFonts w:cs="Arial"/>
            <w:i/>
            <w:sz w:val="18"/>
            <w:szCs w:val="18"/>
          </w:rPr>
          <w:t>https</w:t>
        </w:r>
        <w:r w:rsidRPr="00587BCF">
          <w:rPr>
            <w:rStyle w:val="Lienhypertexte"/>
            <w:rFonts w:cs="Arial"/>
            <w:i/>
            <w:sz w:val="18"/>
            <w:szCs w:val="18"/>
          </w:rPr>
          <w:t>://www.santepubliquefrance.fr/presse/2016/impacts-sanitaires-de-la-pollution-de-l-air-en-france-nouvelles-donnees-et-perspectives</w:t>
        </w:r>
      </w:hyperlink>
      <w:r>
        <w:br w:type="page"/>
      </w:r>
    </w:p>
    <w:p w:rsidR="006E7CFC" w:rsidRPr="00A77456" w:rsidRDefault="00735ADC" w:rsidP="006E7CFC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6E7CFC" w:rsidRPr="00A77456" w:rsidRDefault="00735ADC" w:rsidP="006E7CFC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6E7CFC" w:rsidRPr="00D87AD1" w:rsidRDefault="00735ADC" w:rsidP="006E7CFC">
      <w:pPr>
        <w:spacing w:after="120"/>
        <w:jc w:val="both"/>
        <w:rPr>
          <w:b/>
          <w:sz w:val="22"/>
        </w:rPr>
      </w:pPr>
      <w:r>
        <w:rPr>
          <w:b/>
          <w:sz w:val="28"/>
        </w:rPr>
        <w:t xml:space="preserve">Inégalités des émissions de dioxyde de carbone au niveau </w:t>
      </w:r>
      <w:r>
        <w:rPr>
          <w:b/>
          <w:sz w:val="28"/>
        </w:rPr>
        <w:t>mondial et vulnérabilité au changement climatique</w:t>
      </w:r>
    </w:p>
    <w:p w:rsidR="006E7CFC" w:rsidRPr="000E2C8B" w:rsidRDefault="00735ADC" w:rsidP="006E7CFC">
      <w:pPr>
        <w:spacing w:after="240"/>
        <w:rPr>
          <w:i/>
        </w:rPr>
      </w:pPr>
      <w:r w:rsidRPr="00D74F67">
        <w:rPr>
          <w:i/>
        </w:rPr>
        <w:t>Sur 10 points</w:t>
      </w:r>
    </w:p>
    <w:p w:rsidR="00D54E50" w:rsidRPr="006E7CFC" w:rsidRDefault="00735ADC" w:rsidP="0028100A">
      <w:pPr>
        <w:pStyle w:val="Standard"/>
        <w:spacing w:after="360"/>
        <w:ind w:left="0"/>
        <w:jc w:val="both"/>
        <w:rPr>
          <w:rFonts w:cs="Arial"/>
        </w:rPr>
      </w:pPr>
      <w:r w:rsidRPr="006E7CFC">
        <w:rPr>
          <w:rFonts w:cs="Arial"/>
        </w:rPr>
        <w:t>On s’intéresse aux inégalités d’émissions de dioxyde de carbone (CO</w:t>
      </w:r>
      <w:r w:rsidRPr="006E7CFC">
        <w:rPr>
          <w:rFonts w:cs="Arial"/>
          <w:vertAlign w:val="subscript"/>
        </w:rPr>
        <w:t>2</w:t>
      </w:r>
      <w:r w:rsidRPr="006E7CFC">
        <w:rPr>
          <w:rFonts w:cs="Arial"/>
        </w:rPr>
        <w:t xml:space="preserve">) au niveau mondial et </w:t>
      </w:r>
      <w:r w:rsidRPr="006E7CFC">
        <w:rPr>
          <w:rFonts w:eastAsiaTheme="minorEastAsia" w:cs="Arial"/>
        </w:rPr>
        <w:t xml:space="preserve">à leurs </w:t>
      </w:r>
      <w:r w:rsidRPr="006E7CFC">
        <w:rPr>
          <w:rFonts w:cs="Arial"/>
        </w:rPr>
        <w:t>conséquences climatiques.</w:t>
      </w:r>
      <w:r>
        <w:rPr>
          <w:rFonts w:cs="Arial"/>
        </w:rPr>
        <w:t xml:space="preserve"> </w:t>
      </w:r>
    </w:p>
    <w:tbl>
      <w:tblPr>
        <w:tblStyle w:val="Grilledutableau"/>
        <w:tblW w:w="9107" w:type="dxa"/>
        <w:tblInd w:w="-40" w:type="dxa"/>
        <w:tblLayout w:type="fixed"/>
        <w:tblLook w:val="04A0" w:firstRow="1" w:lastRow="0" w:firstColumn="1" w:lastColumn="0" w:noHBand="0" w:noVBand="1"/>
      </w:tblPr>
      <w:tblGrid>
        <w:gridCol w:w="9107"/>
      </w:tblGrid>
      <w:tr w:rsidR="00D54E50" w:rsidTr="0028100A">
        <w:trPr>
          <w:trHeight w:val="7700"/>
        </w:trPr>
        <w:tc>
          <w:tcPr>
            <w:tcW w:w="9107" w:type="dxa"/>
          </w:tcPr>
          <w:p w:rsidR="00D54E50" w:rsidRPr="002660CC" w:rsidRDefault="00735ADC" w:rsidP="001E1D9E">
            <w:pPr>
              <w:pStyle w:val="Standard"/>
              <w:spacing w:before="120" w:after="120"/>
              <w:ind w:left="0"/>
              <w:rPr>
                <w:b/>
                <w:color w:val="000000"/>
              </w:rPr>
            </w:pPr>
            <w:r w:rsidRPr="002660CC">
              <w:rPr>
                <w:b/>
                <w:color w:val="000000"/>
                <w:u w:val="single"/>
              </w:rPr>
              <w:t>Document 1</w:t>
            </w:r>
            <w:r w:rsidRPr="002660CC">
              <w:rPr>
                <w:b/>
                <w:color w:val="000000"/>
              </w:rPr>
              <w:t> : consommation énergétique</w:t>
            </w:r>
            <w:r>
              <w:rPr>
                <w:b/>
                <w:color w:val="000000"/>
              </w:rPr>
              <w:t xml:space="preserve"> dans le monde ; d</w:t>
            </w:r>
            <w:r w:rsidRPr="002660CC">
              <w:rPr>
                <w:b/>
                <w:color w:val="000000"/>
              </w:rPr>
              <w:t xml:space="preserve">onnées </w:t>
            </w:r>
            <w:r w:rsidRPr="002660CC">
              <w:rPr>
                <w:b/>
                <w:color w:val="000000"/>
              </w:rPr>
              <w:t>utiles</w:t>
            </w:r>
          </w:p>
          <w:p w:rsidR="00D54E50" w:rsidRDefault="00735ADC" w:rsidP="00970DC9">
            <w:pPr>
              <w:pStyle w:val="Standard"/>
              <w:spacing w:after="240"/>
              <w:ind w:left="0"/>
              <w:jc w:val="both"/>
            </w:pPr>
            <w:r w:rsidRPr="091EF338">
              <w:rPr>
                <w:color w:val="000000" w:themeColor="text1"/>
              </w:rPr>
              <w:t>D’après l’Agence internationale de l’énergie (IAE), en 2015, la consommation mondiale d’énergie a atteint la valeur de 392,2</w:t>
            </w:r>
            <w:r>
              <w:rPr>
                <w:color w:val="000000" w:themeColor="text1"/>
              </w:rPr>
              <w:t xml:space="preserve"> x </w:t>
            </w:r>
            <w:r w:rsidRPr="091EF338">
              <w:rPr>
                <w:color w:val="000000" w:themeColor="text1"/>
              </w:rPr>
              <w:t>10</w:t>
            </w:r>
            <w:r w:rsidRPr="091EF338">
              <w:rPr>
                <w:color w:val="000000" w:themeColor="text1"/>
                <w:vertAlign w:val="superscript"/>
              </w:rPr>
              <w:t>18</w:t>
            </w:r>
            <w:r w:rsidRPr="091EF338">
              <w:rPr>
                <w:color w:val="000000" w:themeColor="text1"/>
              </w:rPr>
              <w:t xml:space="preserve"> J et pourrait augmenter d’un tiers à l’horizon 2040. Le tableau ci-dessous détaille la consommation énergétique pour </w:t>
            </w:r>
            <w:r w:rsidRPr="091EF338">
              <w:rPr>
                <w:color w:val="000000" w:themeColor="text1"/>
              </w:rPr>
              <w:t xml:space="preserve">quelques pays ainsi que leur </w:t>
            </w:r>
            <w:r>
              <w:rPr>
                <w:color w:val="000000" w:themeColor="text1"/>
              </w:rPr>
              <w:t>produit intérieur brut (</w:t>
            </w:r>
            <w:r w:rsidRPr="091EF338">
              <w:rPr>
                <w:color w:val="000000" w:themeColor="text1"/>
              </w:rPr>
              <w:t>PIB</w:t>
            </w:r>
            <w:r>
              <w:rPr>
                <w:color w:val="000000" w:themeColor="text1"/>
              </w:rPr>
              <w:t>)</w:t>
            </w:r>
            <w:r w:rsidRPr="091EF338">
              <w:rPr>
                <w:color w:val="000000" w:themeColor="text1"/>
              </w:rPr>
              <w:t xml:space="preserve"> par habitant, indicateur du niveau d’activité économique.</w:t>
            </w:r>
          </w:p>
          <w:tbl>
            <w:tblPr>
              <w:tblW w:w="865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408"/>
              <w:gridCol w:w="1134"/>
              <w:gridCol w:w="1276"/>
              <w:gridCol w:w="1282"/>
              <w:gridCol w:w="1276"/>
              <w:gridCol w:w="1276"/>
            </w:tblGrid>
            <w:tr w:rsidR="00D54E50" w:rsidTr="00D90750">
              <w:trPr>
                <w:trHeight w:val="991"/>
                <w:jc w:val="center"/>
              </w:trPr>
              <w:tc>
                <w:tcPr>
                  <w:tcW w:w="24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735ADC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Chine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États-Unis</w:t>
                  </w:r>
                </w:p>
              </w:tc>
              <w:tc>
                <w:tcPr>
                  <w:tcW w:w="12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Indonésie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France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Nigeria</w:t>
                  </w:r>
                </w:p>
              </w:tc>
            </w:tr>
            <w:tr w:rsidR="00D54E50" w:rsidTr="00D90750">
              <w:trPr>
                <w:trHeight w:val="1046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735ADC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Consommation énergétique du pays (Mtep)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1 995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1 520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174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154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Pr="00D74892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i/>
                      <w:iCs/>
                      <w:color w:val="000000"/>
                    </w:rPr>
                  </w:pPr>
                  <w:r>
                    <w:rPr>
                      <w:rFonts w:eastAsia="Arial" w:cs="Arial"/>
                      <w:i/>
                      <w:iCs/>
                      <w:color w:val="000000"/>
                      <w:sz w:val="20"/>
                      <w:szCs w:val="20"/>
                    </w:rPr>
                    <w:t>À</w:t>
                  </w:r>
                  <w:r w:rsidRPr="00D74892">
                    <w:rPr>
                      <w:rFonts w:eastAsia="Arial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 compléter</w:t>
                  </w:r>
                  <w:r>
                    <w:rPr>
                      <w:rFonts w:eastAsia="Arial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 (question 1)</w:t>
                  </w:r>
                </w:p>
              </w:tc>
            </w:tr>
            <w:tr w:rsidR="00D54E50" w:rsidTr="00D90750">
              <w:trPr>
                <w:trHeight w:val="695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735ADC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Population</w:t>
                  </w:r>
                  <w:r>
                    <w:rPr>
                      <w:rFonts w:eastAsia="Arial" w:cs="Arial"/>
                      <w:color w:val="000000"/>
                    </w:rPr>
                    <w:t xml:space="preserve"> (en million d’habitants)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1 386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326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264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67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181</w:t>
                  </w:r>
                </w:p>
              </w:tc>
            </w:tr>
            <w:tr w:rsidR="00D54E50" w:rsidTr="00D90750">
              <w:trPr>
                <w:trHeight w:val="750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735ADC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PIB par habitant</w:t>
                  </w:r>
                  <w:r>
                    <w:rPr>
                      <w:rFonts w:eastAsia="Arial" w:cs="Arial"/>
                      <w:color w:val="000000"/>
                    </w:rPr>
                    <w:br/>
                    <w:t>(en dollars)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9 596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59 478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12 280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42 925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2732</w:t>
                  </w:r>
                </w:p>
              </w:tc>
            </w:tr>
            <w:tr w:rsidR="00D54E50" w:rsidTr="00D90750">
              <w:trPr>
                <w:trHeight w:val="750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735ADC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Consommation par million d’habitants (Mtep)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1,44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4,66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0,66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2,3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735ADC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0,7</w:t>
                  </w:r>
                </w:p>
              </w:tc>
            </w:tr>
          </w:tbl>
          <w:p w:rsidR="00D54E50" w:rsidRDefault="00735ADC" w:rsidP="003278E6">
            <w:pPr>
              <w:pStyle w:val="Standard"/>
              <w:spacing w:before="240"/>
              <w:ind w:left="0"/>
              <w:rPr>
                <w:color w:val="000000"/>
              </w:rPr>
            </w:pPr>
            <w:r>
              <w:rPr>
                <w:color w:val="000000"/>
                <w:u w:val="single"/>
              </w:rPr>
              <w:t>Données</w:t>
            </w:r>
            <w:r>
              <w:rPr>
                <w:color w:val="000000"/>
              </w:rPr>
              <w:t xml:space="preserve"> : 1 Mtep (</w:t>
            </w:r>
            <w:r w:rsidRPr="00A42628">
              <w:rPr>
                <w:color w:val="000000"/>
              </w:rPr>
              <w:t>ou mégatonne équivalent pétrole</w:t>
            </w:r>
            <w:r>
              <w:rPr>
                <w:color w:val="000000"/>
              </w:rPr>
              <w:t>) = 4,18 x 10</w:t>
            </w:r>
            <w:r>
              <w:rPr>
                <w:color w:val="000000"/>
                <w:vertAlign w:val="superscript"/>
              </w:rPr>
              <w:t xml:space="preserve">16 </w:t>
            </w:r>
            <w:r>
              <w:rPr>
                <w:color w:val="000000"/>
              </w:rPr>
              <w:t>J.</w:t>
            </w:r>
          </w:p>
        </w:tc>
      </w:tr>
    </w:tbl>
    <w:p w:rsidR="00D74892" w:rsidRDefault="00735ADC">
      <w:r>
        <w:br w:type="page"/>
      </w:r>
    </w:p>
    <w:p w:rsidR="002660CC" w:rsidRDefault="00735ADC" w:rsidP="004C3BFF">
      <w:pPr>
        <w:pStyle w:val="Standard"/>
        <w:ind w:left="0"/>
      </w:pPr>
    </w:p>
    <w:p w:rsidR="00A42628" w:rsidRDefault="00735ADC" w:rsidP="00970DC9">
      <w:pPr>
        <w:pStyle w:val="Standard"/>
        <w:spacing w:after="240"/>
        <w:ind w:left="0"/>
        <w:jc w:val="both"/>
        <w:rPr>
          <w:color w:val="000000"/>
        </w:rPr>
      </w:pPr>
      <w:r w:rsidRPr="002660CC">
        <w:rPr>
          <w:b/>
          <w:bCs/>
          <w:color w:val="000000"/>
        </w:rPr>
        <w:t>1-</w:t>
      </w:r>
      <w:r>
        <w:rPr>
          <w:color w:val="000000"/>
        </w:rPr>
        <w:t xml:space="preserve"> Montrer par un calcul que la consommation énergétique du Nigeria est de 127 Mtep. </w:t>
      </w:r>
    </w:p>
    <w:p w:rsidR="00D54E50" w:rsidRDefault="00735ADC" w:rsidP="00970DC9">
      <w:pPr>
        <w:pStyle w:val="Standard"/>
        <w:spacing w:after="240"/>
        <w:ind w:left="0"/>
        <w:jc w:val="both"/>
        <w:rPr>
          <w:color w:val="000000"/>
        </w:rPr>
      </w:pPr>
      <w:r w:rsidRPr="002660CC">
        <w:rPr>
          <w:b/>
          <w:bCs/>
          <w:color w:val="000000"/>
        </w:rPr>
        <w:t>2-</w:t>
      </w:r>
      <w:r>
        <w:rPr>
          <w:color w:val="000000"/>
        </w:rPr>
        <w:t xml:space="preserve"> Après avoir converti la consommation énergétique du Nigeria en joules (J), la comparer à la consommation énergétique mondiale.</w:t>
      </w:r>
    </w:p>
    <w:p w:rsidR="00D54E50" w:rsidRDefault="00735ADC" w:rsidP="00C76778">
      <w:pPr>
        <w:pStyle w:val="Standard"/>
        <w:spacing w:after="360"/>
        <w:ind w:left="0"/>
        <w:jc w:val="both"/>
        <w:rPr>
          <w:color w:val="000000"/>
        </w:rPr>
      </w:pPr>
      <w:r w:rsidRPr="002660CC">
        <w:rPr>
          <w:b/>
          <w:bCs/>
          <w:color w:val="000000"/>
        </w:rPr>
        <w:t>3-</w:t>
      </w:r>
      <w:r>
        <w:rPr>
          <w:color w:val="000000"/>
        </w:rPr>
        <w:t xml:space="preserve"> À partir du tableau du document 1, expl</w:t>
      </w:r>
      <w:r>
        <w:rPr>
          <w:color w:val="000000"/>
        </w:rPr>
        <w:t>iquer en quoi la consommation énergétique est inégalement répartie à l’échelle mondiale.</w:t>
      </w:r>
    </w:p>
    <w:tbl>
      <w:tblPr>
        <w:tblStyle w:val="Grilledutableau"/>
        <w:tblW w:w="8965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8965"/>
      </w:tblGrid>
      <w:tr w:rsidR="00D54E50" w:rsidTr="002316CC">
        <w:trPr>
          <w:trHeight w:val="4194"/>
        </w:trPr>
        <w:tc>
          <w:tcPr>
            <w:tcW w:w="8965" w:type="dxa"/>
          </w:tcPr>
          <w:p w:rsidR="00D54E50" w:rsidRPr="002660CC" w:rsidRDefault="00735ADC" w:rsidP="0084445C">
            <w:pPr>
              <w:pStyle w:val="Standard"/>
              <w:spacing w:before="120" w:after="120"/>
              <w:ind w:left="0"/>
              <w:jc w:val="both"/>
              <w:rPr>
                <w:b/>
                <w:bCs/>
              </w:rPr>
            </w:pPr>
            <w:r w:rsidRPr="002660CC">
              <w:rPr>
                <w:b/>
                <w:bCs/>
                <w:u w:val="single"/>
              </w:rPr>
              <w:t>Document 2</w:t>
            </w:r>
            <w:r w:rsidRPr="002660CC">
              <w:rPr>
                <w:b/>
                <w:bCs/>
              </w:rPr>
              <w:t> : émissions annuelles de CO</w:t>
            </w:r>
            <w:r w:rsidRPr="002660CC">
              <w:rPr>
                <w:b/>
                <w:bCs/>
                <w:vertAlign w:val="subscript"/>
              </w:rPr>
              <w:t>2</w:t>
            </w:r>
            <w:r w:rsidRPr="002660CC">
              <w:rPr>
                <w:b/>
                <w:bCs/>
              </w:rPr>
              <w:t>, en gigatonnes en fonction du temps.</w:t>
            </w:r>
          </w:p>
          <w:p w:rsidR="00D54E50" w:rsidRDefault="00735ADC" w:rsidP="00C76778">
            <w:pPr>
              <w:pStyle w:val="Standard"/>
              <w:ind w:left="0"/>
              <w:jc w:val="both"/>
            </w:pPr>
            <w:r w:rsidRPr="002660CC">
              <w:rPr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67832704" wp14:editId="07777777">
                  <wp:simplePos x="0" y="0"/>
                  <wp:positionH relativeFrom="margin">
                    <wp:posOffset>2106295</wp:posOffset>
                  </wp:positionH>
                  <wp:positionV relativeFrom="paragraph">
                    <wp:posOffset>123190</wp:posOffset>
                  </wp:positionV>
                  <wp:extent cx="3419475" cy="2374265"/>
                  <wp:effectExtent l="0" t="0" r="9525" b="6985"/>
                  <wp:wrapSquare wrapText="bothSides"/>
                  <wp:docPr id="3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19475" cy="2374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Les émissions de CO</w:t>
            </w:r>
            <w:r>
              <w:rPr>
                <w:vertAlign w:val="subscript"/>
              </w:rPr>
              <w:t>2</w:t>
            </w:r>
            <w:r>
              <w:t xml:space="preserve"> par catégorie de revenu ont été mesurées dans le monde entre 1990 et 2015.</w:t>
            </w:r>
          </w:p>
          <w:p w:rsidR="00D54E50" w:rsidRDefault="00735ADC" w:rsidP="006E6A32">
            <w:pPr>
              <w:pStyle w:val="Standard"/>
              <w:ind w:left="0"/>
              <w:jc w:val="both"/>
            </w:pPr>
            <w:r>
              <w:t>Par exemple : 1 % des populations les plus riches émet 15 % des émissions mondiales de CO</w:t>
            </w:r>
            <w:r>
              <w:rPr>
                <w:vertAlign w:val="subscript"/>
              </w:rPr>
              <w:t>2</w:t>
            </w:r>
            <w:r>
              <w:t>.</w:t>
            </w:r>
          </w:p>
          <w:p w:rsidR="00D54E50" w:rsidRDefault="00735ADC" w:rsidP="00C76778">
            <w:pPr>
              <w:pStyle w:val="Standard"/>
              <w:ind w:left="3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Source : Garric, A. (2020, 21 septembre). Les « inégalités extrêmes » des émissions de C</w:t>
            </w:r>
            <w:r>
              <w:rPr>
                <w:color w:val="000000"/>
                <w:sz w:val="20"/>
                <w:szCs w:val="20"/>
              </w:rPr>
              <w:t>O</w:t>
            </w:r>
            <w:r w:rsidRPr="0086589C">
              <w:rPr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nous mènent vers une catastrophe climatique.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Le Monde. </w:t>
            </w:r>
            <w:r>
              <w:rPr>
                <w:color w:val="000000"/>
                <w:sz w:val="20"/>
                <w:szCs w:val="20"/>
              </w:rPr>
              <w:t>Document modifié.</w:t>
            </w:r>
          </w:p>
        </w:tc>
      </w:tr>
    </w:tbl>
    <w:p w:rsidR="00D54E50" w:rsidRDefault="00735ADC">
      <w:pPr>
        <w:pStyle w:val="Standard"/>
        <w:spacing w:after="0"/>
        <w:ind w:left="0"/>
        <w:rPr>
          <w:color w:val="000000"/>
        </w:rPr>
      </w:pPr>
    </w:p>
    <w:p w:rsidR="00D54E50" w:rsidRDefault="00735ADC" w:rsidP="006E6A32">
      <w:pPr>
        <w:pStyle w:val="Standard"/>
        <w:spacing w:before="240" w:after="240"/>
        <w:ind w:left="0"/>
        <w:jc w:val="both"/>
      </w:pPr>
      <w:r w:rsidRPr="002660CC">
        <w:rPr>
          <w:b/>
        </w:rPr>
        <w:t>4-</w:t>
      </w:r>
      <w:r>
        <w:t xml:space="preserve"> À l’aide du document 2, montrer que les émissions de CO</w:t>
      </w:r>
      <w:r>
        <w:rPr>
          <w:vertAlign w:val="subscript"/>
        </w:rPr>
        <w:t>2</w:t>
      </w:r>
      <w:r>
        <w:t xml:space="preserve"> sont inégales au niveau mondial.</w:t>
      </w:r>
    </w:p>
    <w:p w:rsidR="00380AB0" w:rsidRDefault="00735ADC" w:rsidP="00380AB0">
      <w:pPr>
        <w:pStyle w:val="Standard"/>
        <w:ind w:left="0"/>
        <w:jc w:val="both"/>
      </w:pPr>
      <w:r w:rsidRPr="002660CC">
        <w:rPr>
          <w:b/>
        </w:rPr>
        <w:t>5-</w:t>
      </w:r>
      <w:r>
        <w:t xml:space="preserve"> À partir des documents 1 à 3 (page suivante) et de vos connaissances, rédiger un paragraphe argumenté justifiant l’affirmation suivante : « les populations les plus pauvres et les plus vulnérables, qui contribuent le moins à la crise climatique, sont pour</w:t>
      </w:r>
      <w:r>
        <w:t>tant les plus affectées par les dérèglements climatiques ».</w:t>
      </w:r>
    </w:p>
    <w:p w:rsidR="00380AB0" w:rsidRDefault="00735ADC">
      <w:pPr>
        <w:spacing w:after="0" w:line="240" w:lineRule="auto"/>
      </w:pPr>
      <w:r>
        <w:br w:type="page"/>
      </w:r>
    </w:p>
    <w:p w:rsidR="00380AB0" w:rsidRDefault="00735ADC" w:rsidP="006E6A32">
      <w:pPr>
        <w:pStyle w:val="Standard"/>
        <w:spacing w:before="240" w:after="240"/>
        <w:ind w:left="0"/>
        <w:jc w:val="both"/>
      </w:pPr>
    </w:p>
    <w:tbl>
      <w:tblPr>
        <w:tblStyle w:val="Grilledutableau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D54E50" w:rsidTr="00954700">
        <w:trPr>
          <w:trHeight w:val="6984"/>
        </w:trPr>
        <w:tc>
          <w:tcPr>
            <w:tcW w:w="9072" w:type="dxa"/>
          </w:tcPr>
          <w:p w:rsidR="00D54E50" w:rsidRPr="002660CC" w:rsidRDefault="00735ADC">
            <w:pPr>
              <w:pStyle w:val="Standard"/>
              <w:spacing w:before="120" w:after="120"/>
              <w:ind w:left="0"/>
              <w:rPr>
                <w:b/>
              </w:rPr>
            </w:pPr>
            <w:r w:rsidRPr="002660CC">
              <w:rPr>
                <w:b/>
                <w:u w:val="single"/>
              </w:rPr>
              <w:t>Document 3</w:t>
            </w:r>
            <w:r w:rsidRPr="002660CC">
              <w:rPr>
                <w:b/>
              </w:rPr>
              <w:t> : vulnéra</w:t>
            </w:r>
            <w:r>
              <w:rPr>
                <w:b/>
              </w:rPr>
              <w:t>bilité au changement climatique</w:t>
            </w:r>
          </w:p>
          <w:p w:rsidR="006E5E34" w:rsidRDefault="00735ADC">
            <w:pPr>
              <w:pStyle w:val="Standard"/>
              <w:ind w:left="0"/>
            </w:pPr>
            <w:r>
              <w:rPr>
                <w:noProof/>
              </w:rPr>
              <w:drawing>
                <wp:inline distT="0" distB="0" distL="0" distR="0" wp14:anchorId="2B57DF4B" wp14:editId="139D73C5">
                  <wp:extent cx="5648325" cy="3127272"/>
                  <wp:effectExtent l="0" t="0" r="0" b="0"/>
                  <wp:docPr id="4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alphaModFix/>
                            <a:lum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5654722" cy="3130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5E34" w:rsidRDefault="00735ADC" w:rsidP="00C87161">
            <w:pPr>
              <w:pStyle w:val="Standard"/>
              <w:spacing w:after="120"/>
              <w:ind w:left="0"/>
              <w:jc w:val="both"/>
            </w:pPr>
            <w:r>
              <w:t>Les dix pays légendés sur la carte ont tous une vulnérabilité extrême. Le tableau les range par vulnérabilité décroissante (de 1 à 9).</w:t>
            </w:r>
          </w:p>
          <w:p w:rsidR="00D74892" w:rsidRDefault="00735ADC" w:rsidP="00C87161">
            <w:pPr>
              <w:pStyle w:val="Standard"/>
              <w:spacing w:after="120"/>
              <w:ind w:left="0"/>
              <w:jc w:val="both"/>
            </w:pPr>
            <w:r>
              <w:t xml:space="preserve">La </w:t>
            </w:r>
            <w:r>
              <w:t>vulnérabilité au réchauffement climatique correspond à la prédisposition à être affecté par les changements climatiques (susceptibilité d’être atteint, manque de capacité à réagir et à s’adapter).</w:t>
            </w:r>
          </w:p>
          <w:p w:rsidR="00D54E50" w:rsidRDefault="00735ADC" w:rsidP="00C87161">
            <w:pPr>
              <w:pStyle w:val="Standard"/>
              <w:spacing w:after="120"/>
              <w:ind w:left="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Source : Garric, A. (2013, 30 octobre). Quels sont les pays</w:t>
            </w:r>
            <w:r>
              <w:rPr>
                <w:color w:val="000000"/>
                <w:sz w:val="20"/>
                <w:szCs w:val="20"/>
              </w:rPr>
              <w:t xml:space="preserve"> les plus vulnérables au changement climatique ? </w:t>
            </w:r>
            <w:r>
              <w:rPr>
                <w:i/>
                <w:iCs/>
                <w:color w:val="000000"/>
                <w:sz w:val="20"/>
                <w:szCs w:val="20"/>
              </w:rPr>
              <w:t>Le Monde.</w:t>
            </w:r>
            <w:r>
              <w:rPr>
                <w:color w:val="000000"/>
                <w:sz w:val="20"/>
                <w:szCs w:val="20"/>
              </w:rPr>
              <w:t xml:space="preserve"> Document modifié.</w:t>
            </w:r>
          </w:p>
        </w:tc>
      </w:tr>
    </w:tbl>
    <w:p w:rsidR="00D54E50" w:rsidRDefault="00735ADC" w:rsidP="003B00C0">
      <w:pPr>
        <w:pStyle w:val="Standard"/>
        <w:ind w:left="0"/>
      </w:pPr>
    </w:p>
    <w:sectPr w:rsidR="00D54E50" w:rsidSect="00E61EB3">
      <w:headerReference w:type="even" r:id="rId15"/>
      <w:headerReference w:type="default" r:id="rId16"/>
      <w:footerReference w:type="even" r:id="rId17"/>
      <w:footerReference w:type="default" r:id="rId18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6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35ADC" w:rsidRPr="00735ADC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35ADC" w:rsidRPr="00735ADC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35ADC" w:rsidRPr="00735ADC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35ADC" w:rsidRPr="00735ADC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7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35ADC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rsid w:val="00D82CFD"/>
    <w:pPr>
      <w:suppressLineNumbers/>
    </w:pPr>
    <w:rPr>
      <w:rFonts w:ascii="Liberation Serif" w:eastAsia="SimSun" w:hAnsi="Liberation Serif" w:cs="Arial"/>
      <w:color w:val="00000A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587BCF"/>
    <w:rPr>
      <w:color w:val="0000FF" w:themeColor="hyperlink"/>
      <w:u w:val="single"/>
    </w:rPr>
  </w:style>
  <w:style w:type="paragraph" w:customStyle="1" w:styleId="Standard">
    <w:name w:val="Standard"/>
    <w:basedOn w:val="Normal"/>
    <w:pPr>
      <w:ind w:left="708"/>
    </w:pPr>
  </w:style>
  <w:style w:type="paragraph" w:customStyle="1" w:styleId="TableContents">
    <w:name w:val="Table Contents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antepubliquefrance.fr/presse/2016/impacts-sanitaires-de-la-pollution-de-l-air-en-france-nouvelles-donnees-et-perspectiv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1282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