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6B52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5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5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316B5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316B52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6B52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316B5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6B52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5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5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6B52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316B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316B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316B52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316B52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316B52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316B52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316B52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316B52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8F1AC3" w:rsidRPr="00A77456" w:rsidRDefault="00316B52" w:rsidP="008F1AC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8F1AC3" w:rsidRPr="00A77456" w:rsidRDefault="00316B52" w:rsidP="008F1AC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8F1AC3" w:rsidRPr="00D87AD1" w:rsidRDefault="00316B52" w:rsidP="008F1AC3">
      <w:pPr>
        <w:spacing w:after="120"/>
        <w:rPr>
          <w:b/>
          <w:sz w:val="22"/>
        </w:rPr>
      </w:pPr>
      <w:r>
        <w:rPr>
          <w:b/>
          <w:sz w:val="28"/>
        </w:rPr>
        <w:t>Les impacts de la combustion sur l’environnement et la santé</w:t>
      </w:r>
    </w:p>
    <w:p w:rsidR="008F1AC3" w:rsidRPr="008F1AC3" w:rsidRDefault="00316B52" w:rsidP="00D83648">
      <w:pPr>
        <w:spacing w:after="480"/>
        <w:rPr>
          <w:i/>
        </w:rPr>
      </w:pPr>
      <w:r w:rsidRPr="00D74F67">
        <w:rPr>
          <w:i/>
        </w:rPr>
        <w:t>Sur 10 points</w:t>
      </w:r>
    </w:p>
    <w:p w:rsidR="00D82CFD" w:rsidRPr="00587BCF" w:rsidRDefault="00316B52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 xml:space="preserve">La combustion de carburants fossiles et de la biomasse libère du dioxyde de carbone qui a un impact environnemental majeur. </w:t>
      </w:r>
      <w:r>
        <w:rPr>
          <w:rFonts w:cs="Arial"/>
        </w:rPr>
        <w:t xml:space="preserve"> </w:t>
      </w:r>
    </w:p>
    <w:p w:rsidR="00D82CFD" w:rsidRPr="00587BCF" w:rsidRDefault="00316B52" w:rsidP="00FE546F">
      <w:pPr>
        <w:spacing w:after="120"/>
        <w:jc w:val="both"/>
        <w:rPr>
          <w:rFonts w:cs="Arial"/>
        </w:rPr>
      </w:pPr>
      <w:r w:rsidRPr="00587BCF">
        <w:rPr>
          <w:rFonts w:cs="Arial"/>
        </w:rPr>
        <w:t>Il est également reconnu par l’Organisation mondiale de la santé (OMS) que la santé publique est impactée par la pollution de l’ai</w:t>
      </w:r>
      <w:r w:rsidRPr="00587BCF">
        <w:rPr>
          <w:rFonts w:cs="Arial"/>
        </w:rPr>
        <w:t>r. Le Ministère des Solidarités et de la Santé estime qu’environ 48 000 personnes décèdent chaque année des effets de la pollution de l’air en France.</w:t>
      </w:r>
    </w:p>
    <w:p w:rsidR="00D82CFD" w:rsidRPr="00587BCF" w:rsidRDefault="00316B52" w:rsidP="00D83648">
      <w:pPr>
        <w:spacing w:after="480"/>
        <w:jc w:val="both"/>
        <w:rPr>
          <w:rFonts w:cs="Arial"/>
        </w:rPr>
      </w:pPr>
      <w:r w:rsidRPr="00587BCF">
        <w:rPr>
          <w:rFonts w:cs="Arial"/>
        </w:rPr>
        <w:t>On se propose d’étudier la part et les impacts de la combustion de carburants fossiles et de biomasse sur</w:t>
      </w:r>
      <w:r w:rsidRPr="00587BCF">
        <w:rPr>
          <w:rFonts w:cs="Arial"/>
        </w:rPr>
        <w:t xml:space="preserve"> la santé humaine.</w:t>
      </w:r>
    </w:p>
    <w:tbl>
      <w:tblPr>
        <w:tblW w:w="9380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5" w:type="dxa"/>
          <w:left w:w="3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80"/>
      </w:tblGrid>
      <w:tr w:rsidR="00D82CFD" w:rsidRPr="00587BCF" w:rsidTr="00B7433F">
        <w:trPr>
          <w:trHeight w:val="5272"/>
        </w:trPr>
        <w:tc>
          <w:tcPr>
            <w:tcW w:w="938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30" w:type="dxa"/>
            </w:tcMar>
          </w:tcPr>
          <w:p w:rsidR="00D82CFD" w:rsidRPr="00587BCF" w:rsidRDefault="00316B52" w:rsidP="00626D88">
            <w:pPr>
              <w:spacing w:after="240"/>
              <w:ind w:left="1806" w:right="909" w:hanging="1701"/>
              <w:jc w:val="both"/>
              <w:rPr>
                <w:rFonts w:cs="Arial"/>
              </w:rPr>
            </w:pPr>
            <w:r w:rsidRPr="00587BCF">
              <w:rPr>
                <w:rFonts w:cs="Arial"/>
                <w:b/>
                <w:bCs/>
                <w:u w:val="single"/>
              </w:rPr>
              <w:t>Document 1 :</w:t>
            </w:r>
            <w:r>
              <w:rPr>
                <w:rFonts w:cs="Arial"/>
                <w:b/>
                <w:bCs/>
              </w:rPr>
              <w:t>   P</w:t>
            </w:r>
            <w:r w:rsidRPr="00587BCF">
              <w:rPr>
                <w:rFonts w:cs="Arial"/>
                <w:b/>
                <w:bCs/>
              </w:rPr>
              <w:t>roduction de dioxyde de carbone lors de la combustion de carburants fossiles et de la biomasse</w:t>
            </w:r>
            <w:r w:rsidRPr="00587BCF">
              <w:rPr>
                <w:rFonts w:cs="Arial"/>
                <w:b/>
                <w:bCs/>
                <w:u w:val="single"/>
              </w:rPr>
              <w:t xml:space="preserve"> 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939"/>
              <w:gridCol w:w="5424"/>
            </w:tblGrid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b/>
                      <w:sz w:val="22"/>
                    </w:rPr>
                    <w:t>Équation de la réaction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 méthane 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eastAsia="Times New Roman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4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+ 2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 modélisée par l’octane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8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18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+ 25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16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+18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  <w:tr w:rsidR="00FE546F" w:rsidRPr="00587BCF" w:rsidTr="008C2952">
              <w:trPr>
                <w:trHeight w:val="357"/>
                <w:jc w:val="center"/>
              </w:trPr>
              <w:tc>
                <w:tcPr>
                  <w:tcW w:w="2939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 (bois)</w:t>
                  </w:r>
                  <w:r w:rsidRPr="00C0092E">
                    <w:rPr>
                      <w:rFonts w:ascii="Arial" w:hAnsi="Arial"/>
                      <w:sz w:val="22"/>
                    </w:rPr>
                    <w:br/>
                    <w:t>modélisée par 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</w:p>
              </w:tc>
              <w:tc>
                <w:tcPr>
                  <w:tcW w:w="5424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F72123">
                  <w:pPr>
                    <w:pStyle w:val="Contenudetableau"/>
                    <w:spacing w:before="40" w:after="40"/>
                    <w:jc w:val="center"/>
                    <w:rPr>
                      <w:rFonts w:ascii="Arial" w:hAnsi="Arial"/>
                      <w:sz w:val="22"/>
                      <w:szCs w:val="28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C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6</w:t>
                  </w:r>
                  <w:r w:rsidRPr="00C0092E">
                    <w:rPr>
                      <w:rFonts w:ascii="Arial" w:hAnsi="Arial"/>
                      <w:sz w:val="22"/>
                    </w:rPr>
                    <w:t>H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10</w:t>
                  </w:r>
                  <w:r w:rsidRPr="00C0092E">
                    <w:rPr>
                      <w:rFonts w:ascii="Arial" w:hAnsi="Arial"/>
                      <w:sz w:val="22"/>
                    </w:rPr>
                    <w:t>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5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+ 6 O</w:t>
                  </w:r>
                  <w:r w:rsidRPr="00C0092E">
                    <w:rPr>
                      <w:rFonts w:ascii="Arial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sz w:val="22"/>
                    </w:rPr>
                    <w:t xml:space="preserve"> 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→ 6 CO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 xml:space="preserve"> + 5 H</w:t>
                  </w:r>
                  <w:r w:rsidRPr="00C0092E">
                    <w:rPr>
                      <w:rFonts w:ascii="Arial" w:eastAsia="Times New Roman" w:hAnsi="Arial"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eastAsia="Times New Roman" w:hAnsi="Arial"/>
                      <w:sz w:val="22"/>
                    </w:rPr>
                    <w:t>O</w:t>
                  </w:r>
                </w:p>
              </w:tc>
            </w:tr>
          </w:tbl>
          <w:p w:rsidR="00FE546F" w:rsidRDefault="00316B52" w:rsidP="00626D88">
            <w:pPr>
              <w:spacing w:before="240" w:after="120"/>
              <w:rPr>
                <w:rFonts w:cs="Arial"/>
                <w:i/>
                <w:iCs/>
              </w:rPr>
            </w:pPr>
            <w:r>
              <w:rPr>
                <w:b/>
                <w:bCs/>
              </w:rPr>
              <w:t xml:space="preserve">  </w:t>
            </w:r>
            <w:r w:rsidRPr="00587BCF">
              <w:rPr>
                <w:b/>
                <w:bCs/>
              </w:rPr>
              <w:t>Énergie massique libérée p</w:t>
            </w:r>
            <w:r w:rsidRPr="00587BCF">
              <w:rPr>
                <w:b/>
                <w:bCs/>
                <w:iCs/>
              </w:rPr>
              <w:t>ar kg de combustible brûlé</w:t>
            </w:r>
            <w:r w:rsidRPr="00D4028B">
              <w:rPr>
                <w:b/>
                <w:bCs/>
                <w:iCs/>
              </w:rPr>
              <w:t> </w:t>
            </w:r>
            <w:r w:rsidRPr="00D4028B">
              <w:rPr>
                <w:b/>
              </w:rPr>
              <w:t>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FE546F" w:rsidRPr="00587BCF" w:rsidTr="00D4028B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FE546F" w:rsidRPr="00587BCF" w:rsidTr="00D83648">
              <w:trPr>
                <w:trHeight w:val="680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Énergie massique libérée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50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45 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FE546F" w:rsidRPr="00C0092E" w:rsidRDefault="00316B52" w:rsidP="00900AAF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 xml:space="preserve">17 </w:t>
                  </w:r>
                  <w:r w:rsidRPr="00C0092E">
                    <w:rPr>
                      <w:rFonts w:ascii="Arial" w:hAnsi="Arial"/>
                      <w:sz w:val="22"/>
                    </w:rPr>
                    <w:t>MJ.kg</w:t>
                  </w:r>
                  <w:r w:rsidRPr="00C0092E">
                    <w:rPr>
                      <w:rFonts w:ascii="Arial" w:hAnsi="Arial"/>
                      <w:sz w:val="22"/>
                      <w:vertAlign w:val="superscript"/>
                    </w:rPr>
                    <w:t>-1</w:t>
                  </w:r>
                </w:p>
              </w:tc>
            </w:tr>
          </w:tbl>
          <w:p w:rsidR="00A7477B" w:rsidRPr="00D83648" w:rsidRDefault="00316B52" w:rsidP="00D83648">
            <w:pPr>
              <w:spacing w:after="0"/>
              <w:rPr>
                <w:rFonts w:cs="Arial"/>
                <w:sz w:val="12"/>
                <w:szCs w:val="22"/>
              </w:rPr>
            </w:pPr>
          </w:p>
        </w:tc>
      </w:tr>
      <w:tr w:rsidR="00A7477B" w:rsidRPr="00587BCF" w:rsidTr="00B7433F">
        <w:trPr>
          <w:cantSplit/>
        </w:trPr>
        <w:tc>
          <w:tcPr>
            <w:tcW w:w="9380" w:type="dxa"/>
            <w:tcBorders>
              <w:top w:val="nil"/>
            </w:tcBorders>
            <w:shd w:val="clear" w:color="auto" w:fill="auto"/>
            <w:tcMar>
              <w:left w:w="30" w:type="dxa"/>
            </w:tcMar>
          </w:tcPr>
          <w:p w:rsidR="00A7477B" w:rsidRPr="00587BCF" w:rsidRDefault="00316B52" w:rsidP="00D83648">
            <w:pPr>
              <w:pStyle w:val="Contenudetableau"/>
              <w:spacing w:before="120" w:after="1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 xml:space="preserve">  </w:t>
            </w:r>
            <w:r w:rsidRPr="00587BCF">
              <w:rPr>
                <w:rFonts w:ascii="Arial" w:hAnsi="Arial"/>
                <w:b/>
                <w:bCs/>
              </w:rPr>
              <w:t>Masse de CO</w:t>
            </w:r>
            <w:r w:rsidRPr="00587BCF">
              <w:rPr>
                <w:rFonts w:ascii="Arial" w:hAnsi="Arial"/>
                <w:b/>
                <w:bCs/>
                <w:vertAlign w:val="subscript"/>
              </w:rPr>
              <w:t>2</w:t>
            </w:r>
            <w:r w:rsidRPr="00587BCF">
              <w:rPr>
                <w:rFonts w:ascii="Arial" w:hAnsi="Arial"/>
                <w:b/>
                <w:bCs/>
              </w:rPr>
              <w:t xml:space="preserve"> produite pour 1 MJ d’énergie obtenue :</w:t>
            </w:r>
          </w:p>
          <w:tbl>
            <w:tblPr>
              <w:tblW w:w="8363" w:type="dxa"/>
              <w:jc w:val="center"/>
              <w:tblBorders>
                <w:top w:val="single" w:sz="2" w:space="0" w:color="000001"/>
                <w:left w:val="single" w:sz="2" w:space="0" w:color="000001"/>
                <w:bottom w:val="single" w:sz="2" w:space="0" w:color="000001"/>
                <w:insideH w:val="single" w:sz="2" w:space="0" w:color="000001"/>
              </w:tblBorders>
              <w:tblCellMar>
                <w:top w:w="55" w:type="dxa"/>
                <w:left w:w="30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2090"/>
              <w:gridCol w:w="2091"/>
              <w:gridCol w:w="2091"/>
              <w:gridCol w:w="2091"/>
            </w:tblGrid>
            <w:tr w:rsidR="00A7477B" w:rsidRPr="00587BCF" w:rsidTr="005A5911">
              <w:trPr>
                <w:trHeight w:val="469"/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Combustible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Gaz naturel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Essence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Biomasse</w:t>
                  </w:r>
                </w:p>
              </w:tc>
            </w:tr>
            <w:tr w:rsidR="00A7477B" w:rsidRPr="00587BCF" w:rsidTr="005A5911">
              <w:trPr>
                <w:jc w:val="center"/>
              </w:trPr>
              <w:tc>
                <w:tcPr>
                  <w:tcW w:w="2090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b/>
                      <w:bCs/>
                      <w:sz w:val="22"/>
                    </w:rPr>
                  </w:pP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>Masse de CO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  <w:vertAlign w:val="subscript"/>
                    </w:rPr>
                    <w:t>2</w:t>
                  </w:r>
                  <w:r w:rsidRPr="00C0092E">
                    <w:rPr>
                      <w:rFonts w:ascii="Arial" w:hAnsi="Arial"/>
                      <w:b/>
                      <w:bCs/>
                      <w:sz w:val="22"/>
                    </w:rPr>
                    <w:t xml:space="preserve"> produite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56 g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</w:tcBorders>
                  <w:shd w:val="clear" w:color="auto" w:fill="EEECE1" w:themeFill="background2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i/>
                      <w:sz w:val="22"/>
                    </w:rPr>
                  </w:pPr>
                  <w:r w:rsidRPr="00C0092E">
                    <w:rPr>
                      <w:rFonts w:ascii="Arial" w:hAnsi="Arial"/>
                      <w:i/>
                      <w:sz w:val="22"/>
                    </w:rPr>
                    <w:t>À calculer à la question 5</w:t>
                  </w:r>
                </w:p>
              </w:tc>
              <w:tc>
                <w:tcPr>
                  <w:tcW w:w="2091" w:type="dxa"/>
                  <w:tcBorders>
                    <w:top w:val="single" w:sz="2" w:space="0" w:color="000001"/>
                    <w:left w:val="single" w:sz="2" w:space="0" w:color="000001"/>
                    <w:bottom w:val="single" w:sz="2" w:space="0" w:color="000001"/>
                    <w:right w:val="single" w:sz="2" w:space="0" w:color="000001"/>
                  </w:tcBorders>
                  <w:shd w:val="clear" w:color="auto" w:fill="auto"/>
                  <w:tcMar>
                    <w:left w:w="30" w:type="dxa"/>
                  </w:tcMar>
                  <w:vAlign w:val="center"/>
                </w:tcPr>
                <w:p w:rsidR="00A7477B" w:rsidRPr="00C0092E" w:rsidRDefault="00316B52" w:rsidP="00A7477B">
                  <w:pPr>
                    <w:pStyle w:val="Contenudetableau"/>
                    <w:spacing w:before="20" w:after="20"/>
                    <w:jc w:val="center"/>
                    <w:rPr>
                      <w:rFonts w:ascii="Arial" w:hAnsi="Arial"/>
                      <w:sz w:val="22"/>
                    </w:rPr>
                  </w:pPr>
                  <w:r w:rsidRPr="00C0092E">
                    <w:rPr>
                      <w:rFonts w:ascii="Arial" w:hAnsi="Arial"/>
                      <w:sz w:val="22"/>
                    </w:rPr>
                    <w:t>95 g</w:t>
                  </w:r>
                </w:p>
              </w:tc>
            </w:tr>
          </w:tbl>
          <w:p w:rsidR="00A7477B" w:rsidRPr="00587BCF" w:rsidRDefault="00316B52" w:rsidP="00D83648">
            <w:pPr>
              <w:spacing w:before="240" w:after="120"/>
              <w:ind w:left="1806" w:right="124" w:hanging="1701"/>
              <w:jc w:val="right"/>
              <w:rPr>
                <w:rFonts w:cs="Arial"/>
                <w:b/>
                <w:bCs/>
                <w:u w:val="single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Source : d’après J.-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C</w:t>
            </w:r>
            <w:r>
              <w:rPr>
                <w:rFonts w:cs="Arial"/>
                <w:i/>
                <w:iCs/>
                <w:sz w:val="20"/>
                <w:szCs w:val="20"/>
              </w:rPr>
              <w:t>.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 xml:space="preserve"> Guibet, Publications de l’In</w:t>
            </w:r>
            <w:r>
              <w:rPr>
                <w:rFonts w:cs="Arial"/>
                <w:i/>
                <w:iCs/>
                <w:sz w:val="20"/>
                <w:szCs w:val="20"/>
              </w:rPr>
              <w:t>stitut français du pétrole,1997</w:t>
            </w:r>
            <w:r>
              <w:rPr>
                <w:rFonts w:cs="Arial"/>
                <w:i/>
                <w:iCs/>
                <w:sz w:val="20"/>
                <w:szCs w:val="20"/>
              </w:rPr>
              <w:br/>
              <w:t>et W.-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M. Haynes, CRC Handbook of Chemistry and Physics,</w:t>
            </w:r>
            <w:r>
              <w:rPr>
                <w:rFonts w:cs="Arial"/>
                <w:i/>
                <w:iCs/>
                <w:sz w:val="20"/>
                <w:szCs w:val="20"/>
              </w:rPr>
              <w:t xml:space="preserve"> </w:t>
            </w:r>
            <w:r w:rsidRPr="00587BCF">
              <w:rPr>
                <w:rFonts w:cs="Arial"/>
                <w:i/>
                <w:iCs/>
                <w:sz w:val="20"/>
                <w:szCs w:val="20"/>
              </w:rPr>
              <w:t>2012</w:t>
            </w:r>
          </w:p>
        </w:tc>
      </w:tr>
    </w:tbl>
    <w:p w:rsidR="00FB7193" w:rsidRPr="00587BCF" w:rsidRDefault="00316B52" w:rsidP="00F61D89">
      <w:pPr>
        <w:spacing w:before="600" w:after="180"/>
        <w:jc w:val="both"/>
        <w:rPr>
          <w:rFonts w:cs="Arial"/>
        </w:rPr>
      </w:pPr>
      <w:r w:rsidRPr="00587BCF">
        <w:rPr>
          <w:rFonts w:cs="Arial"/>
          <w:b/>
          <w:bCs/>
        </w:rPr>
        <w:t>1-</w:t>
      </w:r>
      <w:r w:rsidRPr="00587BCF">
        <w:rPr>
          <w:rFonts w:cs="Arial"/>
        </w:rPr>
        <w:t xml:space="preserve"> </w:t>
      </w:r>
      <w:r>
        <w:rPr>
          <w:rFonts w:cs="Arial"/>
        </w:rPr>
        <w:t>I</w:t>
      </w:r>
      <w:r w:rsidRPr="00587BCF">
        <w:rPr>
          <w:rFonts w:cs="Arial"/>
        </w:rPr>
        <w:t xml:space="preserve">ndiquer le (ou les) combustible(s) </w:t>
      </w:r>
      <w:r>
        <w:rPr>
          <w:rFonts w:cs="Arial"/>
        </w:rPr>
        <w:t xml:space="preserve">mentionnés dans le document 1 </w:t>
      </w:r>
      <w:r w:rsidRPr="00587BCF">
        <w:rPr>
          <w:rFonts w:cs="Arial"/>
        </w:rPr>
        <w:t>pouvant être utilisés comme source(s) d’énergie renouvelable.</w:t>
      </w:r>
    </w:p>
    <w:p w:rsidR="00FB7193" w:rsidRPr="00587BCF" w:rsidRDefault="00316B5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2-</w:t>
      </w:r>
      <w:r w:rsidRPr="00587BCF">
        <w:rPr>
          <w:rFonts w:cs="Arial"/>
        </w:rPr>
        <w:t xml:space="preserve"> Calculer la masse d’essence, notée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, nécessaire pour </w:t>
      </w:r>
      <w:r w:rsidRPr="00587BCF">
        <w:rPr>
          <w:rFonts w:cs="Arial"/>
        </w:rPr>
        <w:t>obtenir une énergie de valeur 1 MJ.</w:t>
      </w:r>
    </w:p>
    <w:p w:rsidR="00FB7193" w:rsidRPr="00587BCF" w:rsidRDefault="00316B5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3-</w:t>
      </w:r>
      <w:r w:rsidRPr="00587BCF">
        <w:rPr>
          <w:rFonts w:cs="Arial"/>
        </w:rPr>
        <w:t xml:space="preserve"> Sachant que la masse d’une mole d’essence est égale à</w:t>
      </w:r>
      <w:r>
        <w:rPr>
          <w:rFonts w:cs="Arial"/>
        </w:rPr>
        <w:t xml:space="preserve"> 114 g</w:t>
      </w:r>
      <w:r w:rsidRPr="00587BCF">
        <w:rPr>
          <w:rFonts w:cs="Arial"/>
        </w:rPr>
        <w:t>, vérifier que la quantité de matière, notée</w:t>
      </w:r>
      <w:r w:rsidRPr="00587BCF">
        <w:rPr>
          <w:rFonts w:cs="Arial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  <w:bCs/>
        </w:rPr>
        <w:t xml:space="preserve">, </w:t>
      </w:r>
      <w:r w:rsidRPr="00587BCF">
        <w:rPr>
          <w:rFonts w:cs="Arial"/>
        </w:rPr>
        <w:t>présente dans la masse d’essence nécessaire pour obtenir une énergie de valeur</w:t>
      </w:r>
      <w:r>
        <w:rPr>
          <w:rFonts w:cs="Arial"/>
        </w:rPr>
        <w:t xml:space="preserve"> 1 MJ</w:t>
      </w:r>
      <w:r w:rsidRPr="00587BCF">
        <w:rPr>
          <w:rFonts w:cs="Arial"/>
        </w:rPr>
        <w:t xml:space="preserve"> vaut</w:t>
      </w:r>
      <w:r w:rsidRPr="00587BCF">
        <w:rPr>
          <w:rFonts w:cs="Arial"/>
          <w:b/>
          <w:bCs/>
        </w:rPr>
        <w:t xml:space="preserve"> </w:t>
      </w:r>
      <w:r w:rsidRPr="00587BCF">
        <w:rPr>
          <w:rFonts w:cs="Arial"/>
        </w:rPr>
        <w:t xml:space="preserve">environ :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</m:t>
            </m:r>
            <m:r>
              <m:rPr>
                <m:sty m:val="p"/>
              </m:rPr>
              <w:rPr>
                <w:rFonts w:ascii="Cambria Math" w:hAnsi="Cambria Math" w:cs="Arial"/>
              </w:rPr>
              <m:t>ssence</m:t>
            </m:r>
          </m:sub>
        </m:sSub>
        <m:r>
          <w:rPr>
            <w:rFonts w:ascii="Cambria Math" w:hAnsi="Cambria Math" w:cs="Arial"/>
          </w:rPr>
          <m:t xml:space="preserve">=0,2 </m:t>
        </m:r>
        <m:r>
          <m:rPr>
            <m:sty m:val="p"/>
          </m:rPr>
          <w:rPr>
            <w:rFonts w:ascii="Cambria Math" w:hAnsi="Cambria Math" w:cs="Arial"/>
          </w:rPr>
          <m:t>mol</m:t>
        </m:r>
      </m:oMath>
      <w:r w:rsidRPr="00587BCF">
        <w:rPr>
          <w:rFonts w:cs="Arial"/>
        </w:rPr>
        <w:t>.</w:t>
      </w:r>
    </w:p>
    <w:p w:rsidR="00FB7193" w:rsidRPr="00587BCF" w:rsidRDefault="00316B5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4- </w:t>
      </w:r>
      <w:r w:rsidRPr="00587BCF">
        <w:rPr>
          <w:rFonts w:cs="Arial"/>
        </w:rPr>
        <w:t xml:space="preserve">À l’aide de l’équation de la réaction modélisant la combustion de l’essence, vérifier que la quantité de matière de dioxyde de carbone produite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 xml:space="preserve"> est telle que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  <m:r>
          <w:rPr>
            <w:rFonts w:ascii="Cambria Math" w:hAnsi="Cambria Math" w:cs="Arial"/>
          </w:rPr>
          <m:t>=8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</w:rPr>
              <m:t>essence</m:t>
            </m:r>
          </m:sub>
        </m:sSub>
      </m:oMath>
      <w:r w:rsidRPr="00587BCF">
        <w:rPr>
          <w:rFonts w:cs="Arial"/>
        </w:rPr>
        <w:t xml:space="preserve">.  Calculer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n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CO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sub>
        </m:sSub>
      </m:oMath>
      <w:r w:rsidRPr="00587BCF">
        <w:rPr>
          <w:rFonts w:cs="Arial"/>
        </w:rPr>
        <w:t>.</w:t>
      </w:r>
    </w:p>
    <w:p w:rsidR="00FB7193" w:rsidRPr="00587BCF" w:rsidRDefault="00316B5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 xml:space="preserve">5- </w:t>
      </w:r>
      <w:r w:rsidRPr="00587BCF">
        <w:rPr>
          <w:rFonts w:cs="Arial"/>
        </w:rPr>
        <w:t>La masse d’une mole de dioxyde de c</w:t>
      </w:r>
      <w:r w:rsidRPr="00587BCF">
        <w:rPr>
          <w:rFonts w:cs="Arial"/>
        </w:rPr>
        <w:t>arbone étant égale à</w:t>
      </w:r>
      <w:r>
        <w:rPr>
          <w:rFonts w:cs="Arial"/>
        </w:rPr>
        <w:t xml:space="preserve"> 44 g</w:t>
      </w:r>
      <w:r w:rsidRPr="00587BCF">
        <w:rPr>
          <w:rFonts w:cs="Arial"/>
        </w:rPr>
        <w:t>, déterminer la masse de CO</w:t>
      </w:r>
      <w:r w:rsidRPr="00587BCF">
        <w:rPr>
          <w:rFonts w:cs="Arial"/>
          <w:vertAlign w:val="subscript"/>
        </w:rPr>
        <w:t>2</w:t>
      </w:r>
      <w:r w:rsidRPr="00587BCF">
        <w:rPr>
          <w:rFonts w:cs="Arial"/>
        </w:rPr>
        <w:t xml:space="preserve"> libérée dans l’atmosphère par la combustion de l’essence pour obtenir une énergie de valeur 1 MJ.</w:t>
      </w:r>
    </w:p>
    <w:p w:rsidR="00D82CFD" w:rsidRDefault="00316B52" w:rsidP="007F541F">
      <w:pPr>
        <w:spacing w:after="180"/>
        <w:ind w:right="-2"/>
        <w:jc w:val="both"/>
        <w:rPr>
          <w:rFonts w:cs="Arial"/>
        </w:rPr>
      </w:pPr>
      <w:r w:rsidRPr="00587BCF">
        <w:rPr>
          <w:rFonts w:cs="Arial"/>
          <w:b/>
          <w:bCs/>
        </w:rPr>
        <w:t>6-</w:t>
      </w:r>
      <w:r>
        <w:rPr>
          <w:rFonts w:cs="Arial"/>
        </w:rPr>
        <w:t> </w:t>
      </w:r>
      <w:r w:rsidRPr="00587BCF">
        <w:rPr>
          <w:rFonts w:cs="Arial"/>
        </w:rPr>
        <w:t xml:space="preserve">Comparer la masse de dioxyde de carbone émise par MJ produit pour chaque combustible du </w:t>
      </w:r>
      <w:r w:rsidRPr="00587BCF">
        <w:rPr>
          <w:rFonts w:cs="Arial"/>
          <w:bCs/>
        </w:rPr>
        <w:t>document 1 et</w:t>
      </w:r>
      <w:r w:rsidRPr="00587BCF">
        <w:rPr>
          <w:rFonts w:cs="Arial"/>
          <w:bCs/>
        </w:rPr>
        <w:t xml:space="preserve"> i</w:t>
      </w:r>
      <w:r w:rsidRPr="00587BCF">
        <w:rPr>
          <w:rFonts w:cs="Arial"/>
        </w:rPr>
        <w:t>ndiquer quel est l’impact environnemental</w:t>
      </w:r>
      <w:r>
        <w:rPr>
          <w:rFonts w:cs="Arial"/>
        </w:rPr>
        <w:t xml:space="preserve"> majeur du dioxyde de carbone.</w:t>
      </w:r>
    </w:p>
    <w:p w:rsidR="006175AE" w:rsidRDefault="00316B52" w:rsidP="006175AE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7-</w:t>
      </w:r>
      <w:r w:rsidRPr="00587BCF">
        <w:rPr>
          <w:rFonts w:cs="Arial"/>
        </w:rPr>
        <w:t xml:space="preserve"> Identifier les 3 secteurs d’activité émettant le plus de particules fines,</w:t>
      </w:r>
      <w:r>
        <w:rPr>
          <w:rFonts w:cs="Arial"/>
        </w:rPr>
        <w:t xml:space="preserve"> à partir du d</w:t>
      </w:r>
      <w:r w:rsidRPr="00587BCF">
        <w:rPr>
          <w:rFonts w:cs="Arial"/>
        </w:rPr>
        <w:t>ocument 2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>.</w:t>
      </w:r>
    </w:p>
    <w:p w:rsidR="00F61D89" w:rsidRDefault="00316B52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F61D89" w:rsidRPr="00587BCF" w:rsidRDefault="00316B52" w:rsidP="006175AE">
      <w:pPr>
        <w:spacing w:after="240"/>
        <w:jc w:val="both"/>
        <w:rPr>
          <w:rFonts w:cs="Arial"/>
        </w:rPr>
      </w:pPr>
    </w:p>
    <w:p w:rsidR="006175AE" w:rsidRPr="00587BCF" w:rsidRDefault="00316B52" w:rsidP="00C5771D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</w:rPr>
      </w:pPr>
      <w:r w:rsidRPr="00587BCF">
        <w:rPr>
          <w:rFonts w:ascii="Arial" w:hAnsi="Arial"/>
          <w:b/>
          <w:bCs/>
          <w:u w:val="single"/>
        </w:rPr>
        <w:t>Document 2 :</w:t>
      </w:r>
      <w:r>
        <w:rPr>
          <w:rFonts w:ascii="Arial" w:hAnsi="Arial"/>
          <w:b/>
          <w:bCs/>
        </w:rPr>
        <w:t>  R</w:t>
      </w:r>
      <w:r w:rsidRPr="00587BCF">
        <w:rPr>
          <w:rFonts w:ascii="Arial" w:hAnsi="Arial"/>
          <w:b/>
          <w:bCs/>
        </w:rPr>
        <w:t xml:space="preserve">épartition (en %) par grands secteurs d’activité des émissions annuelles de particules fines </w:t>
      </w:r>
      <w:r>
        <w:rPr>
          <w:rFonts w:ascii="Arial" w:hAnsi="Arial"/>
          <w:b/>
          <w:bCs/>
        </w:rPr>
        <w:t xml:space="preserve">de dimensions </w:t>
      </w:r>
      <w:r w:rsidRPr="00587BCF">
        <w:rPr>
          <w:rFonts w:ascii="Arial" w:hAnsi="Arial"/>
          <w:b/>
          <w:bCs/>
        </w:rPr>
        <w:t xml:space="preserve">inférieures à </w:t>
      </w:r>
      <m:oMath>
        <m:r>
          <m:rPr>
            <m:sty m:val="bi"/>
          </m:rPr>
          <w:rPr>
            <w:rFonts w:ascii="Cambria Math" w:hAnsi="Cambria Math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</w:rPr>
          <m:t>5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μm</m:t>
        </m:r>
      </m:oMath>
      <w:r w:rsidRPr="00587BCF">
        <w:rPr>
          <w:rFonts w:ascii="Arial" w:hAnsi="Arial"/>
          <w:b/>
          <w:bCs/>
        </w:rPr>
        <w:t xml:space="preserve"> (PM 2,5) en Ile-de-France</w:t>
      </w:r>
      <w:r w:rsidRPr="00587BCF">
        <w:rPr>
          <w:rFonts w:ascii="Arial" w:hAnsi="Arial"/>
        </w:rPr>
        <w:t xml:space="preserve"> </w:t>
      </w:r>
    </w:p>
    <w:p w:rsidR="006175AE" w:rsidRDefault="00316B52" w:rsidP="006175A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center"/>
        <w:rPr>
          <w:rFonts w:cs="Arial"/>
          <w:bCs/>
          <w:i/>
          <w:sz w:val="20"/>
        </w:rPr>
      </w:pPr>
      <w:r w:rsidRPr="00587BCF">
        <w:rPr>
          <w:rFonts w:cs="Arial"/>
          <w:b/>
          <w:bCs/>
          <w:noProof/>
        </w:rPr>
        <w:drawing>
          <wp:inline distT="0" distB="0" distL="0" distR="0" wp14:anchorId="53455DC4" wp14:editId="11E43FA1">
            <wp:extent cx="4689960" cy="2253740"/>
            <wp:effectExtent l="0" t="0" r="0" b="0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52" b="1695"/>
                    <a:stretch/>
                  </pic:blipFill>
                  <pic:spPr bwMode="auto">
                    <a:xfrm>
                      <a:off x="0" y="0"/>
                      <a:ext cx="4718850" cy="22676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75AE" w:rsidRPr="00573428" w:rsidRDefault="00316B52" w:rsidP="00573428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right"/>
        <w:rPr>
          <w:rFonts w:cs="Arial"/>
          <w:b/>
          <w:bCs/>
        </w:rPr>
      </w:pPr>
      <w:r w:rsidRPr="006175AE">
        <w:rPr>
          <w:rFonts w:cs="Arial"/>
          <w:bCs/>
          <w:i/>
          <w:sz w:val="20"/>
        </w:rPr>
        <w:t xml:space="preserve">Source : d’après </w:t>
      </w:r>
      <w:r w:rsidRPr="006175AE">
        <w:rPr>
          <w:rFonts w:cs="Arial"/>
          <w:i/>
          <w:sz w:val="20"/>
        </w:rPr>
        <w:t>Airparif 2007</w:t>
      </w:r>
    </w:p>
    <w:p w:rsidR="00F61D89" w:rsidRDefault="00316B52" w:rsidP="00402F3F">
      <w:pPr>
        <w:spacing w:after="240"/>
        <w:jc w:val="both"/>
        <w:rPr>
          <w:rFonts w:cs="Arial"/>
          <w:b/>
          <w:bCs/>
        </w:rPr>
      </w:pPr>
    </w:p>
    <w:p w:rsidR="00DD60D6" w:rsidRDefault="00316B52" w:rsidP="00402F3F">
      <w:pPr>
        <w:spacing w:after="240"/>
        <w:jc w:val="both"/>
        <w:rPr>
          <w:rFonts w:cs="Arial"/>
        </w:rPr>
      </w:pPr>
      <w:r w:rsidRPr="00587BCF">
        <w:rPr>
          <w:rFonts w:cs="Arial"/>
          <w:b/>
          <w:bCs/>
        </w:rPr>
        <w:t>8-</w:t>
      </w:r>
      <w:r w:rsidRPr="00587BCF">
        <w:rPr>
          <w:rFonts w:cs="Arial"/>
        </w:rPr>
        <w:t xml:space="preserve"> À partir de l’étude présentée dans le document 3</w:t>
      </w:r>
      <w:r>
        <w:rPr>
          <w:rFonts w:cs="Arial"/>
        </w:rPr>
        <w:t xml:space="preserve"> de la page suivante</w:t>
      </w:r>
      <w:r w:rsidRPr="00587BCF">
        <w:rPr>
          <w:rFonts w:cs="Arial"/>
        </w:rPr>
        <w:t xml:space="preserve">, </w:t>
      </w:r>
      <w:r>
        <w:rPr>
          <w:rFonts w:cs="Arial"/>
        </w:rPr>
        <w:t>rédiger un texte argumenté expliquant</w:t>
      </w:r>
      <w:r w:rsidRPr="00587BCF">
        <w:rPr>
          <w:rFonts w:cs="Arial"/>
        </w:rPr>
        <w:t xml:space="preserve"> la signification du chiffre : « 48000 décès par an en France sont dus à la pollution ».</w:t>
      </w:r>
    </w:p>
    <w:p w:rsidR="00DD60D6" w:rsidRDefault="00316B52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6175AE" w:rsidRPr="00587BCF" w:rsidRDefault="00316B52" w:rsidP="00402F3F">
      <w:pPr>
        <w:spacing w:after="240"/>
        <w:jc w:val="both"/>
        <w:rPr>
          <w:rFonts w:cs="Arial"/>
        </w:rPr>
      </w:pPr>
    </w:p>
    <w:p w:rsidR="001055C5" w:rsidRPr="00587BCF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ind w:left="1701" w:hanging="1701"/>
        <w:jc w:val="both"/>
        <w:rPr>
          <w:rFonts w:ascii="Arial" w:hAnsi="Arial"/>
          <w:b/>
          <w:bCs/>
        </w:rPr>
      </w:pPr>
      <w:r w:rsidRPr="00587BCF">
        <w:rPr>
          <w:rFonts w:ascii="Arial" w:hAnsi="Arial"/>
          <w:b/>
          <w:bCs/>
          <w:u w:val="single"/>
        </w:rPr>
        <w:t>Document 3 :</w:t>
      </w:r>
      <w:r>
        <w:rPr>
          <w:rFonts w:ascii="Arial" w:hAnsi="Arial"/>
          <w:b/>
          <w:bCs/>
        </w:rPr>
        <w:t>  Im</w:t>
      </w:r>
      <w:r w:rsidRPr="00587BCF">
        <w:rPr>
          <w:rFonts w:ascii="Arial" w:hAnsi="Arial"/>
          <w:b/>
          <w:bCs/>
        </w:rPr>
        <w:t>pacts sanitaires de la pollution de l'air en France (2016)</w:t>
      </w:r>
    </w:p>
    <w:p w:rsidR="00587BCF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 xml:space="preserve">La plupart des sources de </w:t>
      </w:r>
      <w:r w:rsidRPr="00BE4405">
        <w:rPr>
          <w:rFonts w:ascii="Arial" w:hAnsi="Arial"/>
          <w:sz w:val="22"/>
          <w:szCs w:val="22"/>
        </w:rPr>
        <w:t>pollution atmosphériques émettent des particules fines de diamètre inférieur à 2,5 micromètres (PM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>) : transports, résidentiel/tertiaire, agriculture, industrie. Leur contribution relative à la pollution atmosphérique varie cependant selon le lieu.</w:t>
      </w:r>
    </w:p>
    <w:p w:rsidR="001055C5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Désir</w:t>
      </w:r>
      <w:r w:rsidRPr="00BE4405">
        <w:rPr>
          <w:rFonts w:ascii="Arial" w:hAnsi="Arial"/>
          <w:sz w:val="22"/>
          <w:szCs w:val="22"/>
        </w:rPr>
        <w:t>ant déterminer l’effet qu’une réduction de pollution aurait sur la mortalité prématurée en France, les chercheurs ont recueilli pour l’année 2007 les mesures de concentrations moyennes en particules fines PM</w:t>
      </w:r>
      <w:r w:rsidRPr="00BE4405">
        <w:rPr>
          <w:rFonts w:ascii="Arial" w:hAnsi="Arial"/>
          <w:sz w:val="22"/>
          <w:szCs w:val="22"/>
          <w:vertAlign w:val="subscript"/>
        </w:rPr>
        <w:t>2.5</w:t>
      </w:r>
      <w:r w:rsidRPr="00BE4405">
        <w:rPr>
          <w:rFonts w:ascii="Arial" w:hAnsi="Arial"/>
          <w:sz w:val="22"/>
          <w:szCs w:val="22"/>
        </w:rPr>
        <w:t xml:space="preserve"> et le nombre total de décès. </w:t>
      </w:r>
    </w:p>
    <w:p w:rsidR="001055C5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Ils ont ensuite</w:t>
      </w:r>
      <w:r w:rsidRPr="00BE4405">
        <w:rPr>
          <w:rFonts w:ascii="Arial" w:hAnsi="Arial"/>
          <w:sz w:val="22"/>
          <w:szCs w:val="22"/>
        </w:rPr>
        <w:t xml:space="preserve"> appliqué une relation mathématique, établie dans des études précédentes, afin de calculer l’effet de différents scénarios :</w:t>
      </w:r>
    </w:p>
    <w:p w:rsidR="006E368F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4,9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que l’on peut mesurer dans des villages de haute montagne à faible activité économique ;</w:t>
      </w:r>
    </w:p>
    <w:p w:rsidR="001055C5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6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10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valeur recommandée par l’OMS ;</w:t>
      </w:r>
    </w:p>
    <w:p w:rsidR="001055C5" w:rsidRPr="00BE4405" w:rsidRDefault="00316B52" w:rsidP="006E368F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• réduction à 15 µg.m</w:t>
      </w:r>
      <w:r w:rsidRPr="00BE4405">
        <w:rPr>
          <w:rFonts w:ascii="Arial" w:hAnsi="Arial"/>
          <w:sz w:val="22"/>
          <w:szCs w:val="22"/>
          <w:vertAlign w:val="superscript"/>
        </w:rPr>
        <w:t>-3</w:t>
      </w:r>
      <w:r w:rsidRPr="00BE4405">
        <w:rPr>
          <w:rFonts w:ascii="Arial" w:hAnsi="Arial"/>
          <w:sz w:val="22"/>
          <w:szCs w:val="22"/>
        </w:rPr>
        <w:t>, objectif fixé par le Plan national santé-environnement de 2009.</w:t>
      </w:r>
    </w:p>
    <w:p w:rsidR="001055C5" w:rsidRPr="00BE4405" w:rsidRDefault="00316B52" w:rsidP="00BE4405">
      <w:pPr>
        <w:pStyle w:val="Contenudetableau"/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240"/>
        <w:jc w:val="both"/>
        <w:rPr>
          <w:rFonts w:ascii="Arial" w:hAnsi="Arial"/>
          <w:sz w:val="22"/>
          <w:szCs w:val="22"/>
        </w:rPr>
      </w:pPr>
      <w:r w:rsidRPr="00BE4405">
        <w:rPr>
          <w:rFonts w:ascii="Arial" w:hAnsi="Arial"/>
          <w:sz w:val="22"/>
          <w:szCs w:val="22"/>
        </w:rPr>
        <w:t>La population française en 2019 est de 65 millions d’habitants.</w:t>
      </w:r>
    </w:p>
    <w:p w:rsidR="001055C5" w:rsidRPr="00BE4405" w:rsidRDefault="00316B52" w:rsidP="00FC6BE1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b/>
          <w:bCs/>
          <w:iCs/>
          <w:sz w:val="22"/>
          <w:szCs w:val="22"/>
        </w:rPr>
      </w:pPr>
      <w:r w:rsidRPr="00BE4405">
        <w:rPr>
          <w:rFonts w:cs="Arial"/>
          <w:b/>
          <w:bCs/>
          <w:iCs/>
          <w:sz w:val="22"/>
          <w:szCs w:val="22"/>
        </w:rPr>
        <w:t xml:space="preserve">Nombre de morts qui auraient été évités dans </w:t>
      </w:r>
      <w:r w:rsidRPr="00BE4405">
        <w:rPr>
          <w:rFonts w:cs="Arial"/>
          <w:b/>
          <w:bCs/>
          <w:iCs/>
          <w:sz w:val="22"/>
          <w:szCs w:val="22"/>
        </w:rPr>
        <w:t>l’année</w:t>
      </w:r>
      <w:r w:rsidRPr="00BE4405">
        <w:rPr>
          <w:rFonts w:cs="Arial"/>
          <w:b/>
          <w:bCs/>
          <w:iCs/>
          <w:sz w:val="22"/>
          <w:szCs w:val="22"/>
        </w:rPr>
        <w:br/>
        <w:t>selon la modélisation réalisée par les chercheurs</w:t>
      </w:r>
    </w:p>
    <w:p w:rsidR="001055C5" w:rsidRPr="00587BCF" w:rsidRDefault="00316B52" w:rsidP="006E368F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center"/>
        <w:rPr>
          <w:rFonts w:cs="Arial"/>
          <w:i/>
        </w:rPr>
      </w:pPr>
      <w:r w:rsidRPr="00587BCF">
        <w:rPr>
          <w:rFonts w:cs="Arial"/>
          <w:noProof/>
        </w:rPr>
        <w:drawing>
          <wp:inline distT="0" distB="0" distL="0" distR="0" wp14:anchorId="409D566E" wp14:editId="5575F2EA">
            <wp:extent cx="3543300" cy="2573196"/>
            <wp:effectExtent l="0" t="0" r="0" b="0"/>
            <wp:docPr id="2" name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colorTemperature colorTemp="72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38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606635" cy="2619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7BCF" w:rsidRPr="00587BCF" w:rsidRDefault="00316B52" w:rsidP="00DD60D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/>
        <w:jc w:val="right"/>
        <w:rPr>
          <w:rFonts w:cs="Arial"/>
          <w:i/>
        </w:rPr>
      </w:pPr>
      <w:r w:rsidRPr="006175AE">
        <w:rPr>
          <w:rFonts w:cs="Arial"/>
          <w:i/>
          <w:sz w:val="20"/>
        </w:rPr>
        <w:t>Source : d’après Santé Publique France</w:t>
      </w:r>
      <w:r w:rsidRPr="00587BCF">
        <w:rPr>
          <w:rFonts w:cs="Arial"/>
          <w:i/>
        </w:rPr>
        <w:t xml:space="preserve"> </w:t>
      </w:r>
    </w:p>
    <w:p w:rsidR="00FF29D6" w:rsidRPr="00587BCF" w:rsidRDefault="00316B52" w:rsidP="00E06C2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120"/>
        <w:jc w:val="right"/>
        <w:rPr>
          <w:rFonts w:cs="Arial"/>
          <w:sz w:val="18"/>
          <w:szCs w:val="18"/>
        </w:rPr>
      </w:pPr>
      <w:hyperlink r:id="rId12" w:history="1">
        <w:r w:rsidRPr="00587BCF">
          <w:rPr>
            <w:rStyle w:val="Lienhypertexte"/>
            <w:rFonts w:cs="Arial"/>
            <w:i/>
            <w:sz w:val="18"/>
            <w:szCs w:val="18"/>
          </w:rPr>
          <w:t>https</w:t>
        </w:r>
        <w:r w:rsidRPr="00587BCF">
          <w:rPr>
            <w:rStyle w:val="Lienhypertexte"/>
            <w:rFonts w:cs="Arial"/>
            <w:i/>
            <w:sz w:val="18"/>
            <w:szCs w:val="18"/>
          </w:rPr>
          <w:t>://www.santepubliquefrance.fr/presse/2016/impacts-sanitaires-de-la-pollution-de-l-air-en-france-nouvelles-donnees-et-perspectives</w:t>
        </w:r>
      </w:hyperlink>
      <w:r>
        <w:br w:type="page"/>
      </w:r>
    </w:p>
    <w:p w:rsidR="00AD40DE" w:rsidRPr="00A77456" w:rsidRDefault="00316B52" w:rsidP="00AD40D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AD40DE" w:rsidRPr="00A77456" w:rsidRDefault="00316B52" w:rsidP="00AD40D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AD40DE" w:rsidRPr="00D87AD1" w:rsidRDefault="00316B52" w:rsidP="00AD40D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L’empreinte carbone des appareils électroménagers</w:t>
      </w:r>
    </w:p>
    <w:p w:rsidR="007F2317" w:rsidRDefault="00316B52" w:rsidP="000B2C77">
      <w:pPr>
        <w:spacing w:after="240"/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6B45DE" w:rsidRDefault="00316B52" w:rsidP="000B2C77">
      <w:pPr>
        <w:spacing w:after="360" w:line="276" w:lineRule="auto"/>
        <w:jc w:val="both"/>
      </w:pPr>
      <w:r>
        <w:rPr>
          <w:rFonts w:eastAsia="Times New Roman" w:cs="Arial"/>
          <w:color w:val="000000"/>
          <w:highlight w:val="white"/>
        </w:rPr>
        <w:t xml:space="preserve">Pour établir l’empreinte carbone de ces appareils, les scientifiques </w:t>
      </w:r>
      <w:r>
        <w:rPr>
          <w:rFonts w:eastAsia="Times New Roman" w:cs="Arial"/>
          <w:color w:val="000000"/>
          <w:highlight w:val="white"/>
          <w:lang w:bidi="hi-IN"/>
        </w:rPr>
        <w:t>ont utilisé</w:t>
      </w:r>
      <w:r>
        <w:rPr>
          <w:rFonts w:eastAsia="Times New Roman" w:cs="Arial"/>
          <w:color w:val="000000"/>
          <w:highlight w:val="white"/>
        </w:rPr>
        <w:t xml:space="preserve"> des données concernant à la fois la production des matières premières servant à leur fabrication mais aussi </w:t>
      </w:r>
      <w:r>
        <w:rPr>
          <w:rFonts w:eastAsia="Times New Roman" w:cs="Arial"/>
          <w:color w:val="000000"/>
        </w:rPr>
        <w:t>leur collecte et leur recyclage, lors de leur fin de vie.</w:t>
      </w:r>
      <w:r>
        <w:rPr>
          <w:rFonts w:eastAsia="Times New Roman" w:cs="Arial"/>
          <w:color w:val="000000"/>
        </w:rPr>
        <w:t xml:space="preserve"> </w:t>
      </w:r>
    </w:p>
    <w:tbl>
      <w:tblPr>
        <w:tblW w:w="8998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998"/>
      </w:tblGrid>
      <w:tr w:rsidR="006B45DE" w:rsidTr="00D34A3F">
        <w:trPr>
          <w:trHeight w:val="5836"/>
          <w:jc w:val="center"/>
        </w:trPr>
        <w:tc>
          <w:tcPr>
            <w:tcW w:w="89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5DE" w:rsidRDefault="00316B52" w:rsidP="000B2C77">
            <w:pPr>
              <w:spacing w:before="120" w:after="120" w:line="276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2723D8">
              <w:rPr>
                <w:b/>
                <w:bCs/>
                <w:noProof/>
              </w:rPr>
              <w:drawing>
                <wp:anchor distT="0" distB="0" distL="0" distR="0" simplePos="0" relativeHeight="7" behindDoc="0" locked="0" layoutInCell="1" allowOverlap="1" wp14:anchorId="7FCC626F" wp14:editId="7FCC6270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572770</wp:posOffset>
                  </wp:positionV>
                  <wp:extent cx="5168900" cy="3182620"/>
                  <wp:effectExtent l="0" t="0" r="0" b="0"/>
                  <wp:wrapTopAndBottom/>
                  <wp:docPr id="3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168900" cy="318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723D8">
              <w:rPr>
                <w:rFonts w:eastAsia="Times New Roman" w:cs="Arial"/>
                <w:b/>
                <w:bCs/>
                <w:u w:val="single"/>
              </w:rPr>
              <w:t>Document 1</w:t>
            </w:r>
            <w:r w:rsidRPr="002723D8">
              <w:rPr>
                <w:rFonts w:eastAsia="Times New Roman" w:cs="Arial"/>
                <w:b/>
                <w:bCs/>
              </w:rPr>
              <w:t xml:space="preserve"> : empreinte carbone de quelques appareils domestiques </w:t>
            </w:r>
            <w:r w:rsidRPr="002723D8">
              <w:rPr>
                <w:rFonts w:eastAsia="Times New Roman" w:cs="Arial"/>
                <w:b/>
                <w:bCs/>
                <w:color w:val="000000"/>
                <w:highlight w:val="white"/>
              </w:rPr>
              <w:t>électroménagers</w:t>
            </w:r>
          </w:p>
          <w:p w:rsidR="000B2C77" w:rsidRPr="000B2C77" w:rsidRDefault="00316B52" w:rsidP="00D34A3F">
            <w:pPr>
              <w:spacing w:before="240" w:after="120" w:line="276" w:lineRule="auto"/>
              <w:jc w:val="right"/>
              <w:rPr>
                <w:rFonts w:eastAsia="Times New Roman" w:cs="Arial"/>
                <w:sz w:val="20"/>
                <w:szCs w:val="20"/>
              </w:rPr>
            </w:pPr>
            <w:r w:rsidRPr="002723D8">
              <w:rPr>
                <w:rFonts w:eastAsia="Times New Roman" w:cs="Arial"/>
                <w:sz w:val="20"/>
                <w:szCs w:val="20"/>
              </w:rPr>
              <w:t xml:space="preserve">Source : J. Lhotellier, E. Less, E. Bossanne, S. Pesnel. (2018). </w:t>
            </w:r>
            <w:r w:rsidRPr="002723D8">
              <w:rPr>
                <w:rFonts w:eastAsia="Times New Roman" w:cs="Arial"/>
                <w:i/>
                <w:iCs/>
                <w:sz w:val="20"/>
                <w:szCs w:val="20"/>
              </w:rPr>
              <w:t xml:space="preserve">Modélisation et évaluation ACV de produits de consommation et biens d’équipement. </w:t>
            </w:r>
            <w:r w:rsidRPr="002723D8">
              <w:rPr>
                <w:rFonts w:eastAsia="Times New Roman" w:cs="Arial"/>
                <w:sz w:val="20"/>
                <w:szCs w:val="20"/>
              </w:rPr>
              <w:t xml:space="preserve">Rapport de l’ADEME. </w:t>
            </w:r>
            <w:r w:rsidRPr="002723D8">
              <w:rPr>
                <w:rFonts w:eastAsia="Times New Roman" w:cs="Arial"/>
                <w:sz w:val="20"/>
                <w:szCs w:val="20"/>
              </w:rPr>
              <w:t>Document modifié.</w:t>
            </w:r>
          </w:p>
        </w:tc>
      </w:tr>
    </w:tbl>
    <w:p w:rsidR="00D34A3F" w:rsidRDefault="00316B52">
      <w:pPr>
        <w:spacing w:line="276" w:lineRule="auto"/>
        <w:rPr>
          <w:rFonts w:eastAsia="Times New Roman" w:cs="Arial"/>
          <w:b/>
          <w:bCs/>
          <w:color w:val="000000"/>
        </w:rPr>
      </w:pPr>
    </w:p>
    <w:p w:rsidR="006B45DE" w:rsidRDefault="00316B52" w:rsidP="00D34A3F">
      <w:pPr>
        <w:spacing w:after="240" w:line="276" w:lineRule="auto"/>
      </w:pPr>
      <w:r>
        <w:rPr>
          <w:rFonts w:eastAsia="Times New Roman" w:cs="Arial"/>
          <w:b/>
          <w:bCs/>
          <w:color w:val="000000"/>
        </w:rPr>
        <w:t>1-  </w:t>
      </w:r>
      <w:r>
        <w:rPr>
          <w:rFonts w:eastAsia="Times New Roman" w:cs="Arial"/>
          <w:color w:val="000000"/>
          <w:lang w:bidi="hi-IN"/>
        </w:rPr>
        <w:t>Donner la définition de</w:t>
      </w:r>
      <w:r>
        <w:rPr>
          <w:rFonts w:eastAsia="Times New Roman" w:cs="Arial"/>
          <w:color w:val="000000"/>
        </w:rPr>
        <w:t xml:space="preserve"> l’empreinte carbone d'une activité.</w:t>
      </w:r>
    </w:p>
    <w:p w:rsidR="006B45DE" w:rsidRDefault="00316B52" w:rsidP="00D34A3F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b/>
          <w:bCs/>
          <w:color w:val="000000" w:themeColor="text1"/>
        </w:rPr>
        <w:t>2-  </w:t>
      </w:r>
      <w:r w:rsidRPr="0330BDF7">
        <w:rPr>
          <w:rFonts w:eastAsia="Times New Roman" w:cs="Arial"/>
          <w:color w:val="000000" w:themeColor="text1"/>
        </w:rPr>
        <w:t>À partir du document 1, citer les deux plus importantes contributions au réchauffement climatique au cours du cycle de vie d’un appareil électroménager.</w:t>
      </w:r>
    </w:p>
    <w:p w:rsidR="006B45DE" w:rsidRDefault="00316B52" w:rsidP="008E10A8">
      <w:pPr>
        <w:spacing w:after="360" w:line="276" w:lineRule="auto"/>
        <w:jc w:val="both"/>
        <w:rPr>
          <w:rFonts w:eastAsia="Times New Roman" w:cs="Arial"/>
          <w:color w:val="000000"/>
        </w:rPr>
      </w:pPr>
      <w:r w:rsidRPr="24D02A45">
        <w:rPr>
          <w:rFonts w:eastAsia="Times New Roman" w:cs="Arial"/>
          <w:b/>
          <w:bCs/>
          <w:color w:val="000000" w:themeColor="text1"/>
        </w:rPr>
        <w:lastRenderedPageBreak/>
        <w:t xml:space="preserve">3- </w:t>
      </w:r>
      <w:r w:rsidRPr="24D02A45">
        <w:rPr>
          <w:rFonts w:eastAsia="Times New Roman" w:cs="Arial"/>
          <w:color w:val="000000" w:themeColor="text1"/>
        </w:rPr>
        <w:t>À</w:t>
      </w:r>
      <w:r w:rsidRPr="24D02A45">
        <w:rPr>
          <w:rFonts w:eastAsia="Times New Roman" w:cs="Arial"/>
          <w:color w:val="000000" w:themeColor="text1"/>
        </w:rPr>
        <w:t xml:space="preserve"> partir du document 1, citer la contribution du cycle de vie d’un appareil électroménager qui diminue son empreinte carbone. Justifier la réponse.</w:t>
      </w:r>
    </w:p>
    <w:tbl>
      <w:tblPr>
        <w:tblW w:w="9145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45"/>
      </w:tblGrid>
      <w:tr w:rsidR="006B45DE" w:rsidTr="00B5128B">
        <w:trPr>
          <w:trHeight w:val="3237"/>
          <w:jc w:val="center"/>
        </w:trPr>
        <w:tc>
          <w:tcPr>
            <w:tcW w:w="91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6B45DE" w:rsidRDefault="00316B52" w:rsidP="00B5128B">
            <w:pPr>
              <w:spacing w:before="120" w:after="120" w:line="240" w:lineRule="auto"/>
              <w:jc w:val="both"/>
              <w:rPr>
                <w:rFonts w:eastAsia="Times New Roman" w:cs="Arial"/>
                <w:b/>
                <w:bCs/>
                <w:color w:val="000000"/>
              </w:rPr>
            </w:pPr>
            <w:r w:rsidRPr="002723D8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165100</wp:posOffset>
                  </wp:positionH>
                  <wp:positionV relativeFrom="paragraph">
                    <wp:posOffset>682625</wp:posOffset>
                  </wp:positionV>
                  <wp:extent cx="5339715" cy="1410335"/>
                  <wp:effectExtent l="0" t="0" r="0" b="0"/>
                  <wp:wrapTopAndBottom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33971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723D8">
              <w:rPr>
                <w:rFonts w:eastAsia="Times New Roman" w:cs="Arial"/>
                <w:b/>
                <w:bCs/>
                <w:color w:val="000000"/>
                <w:u w:val="single"/>
              </w:rPr>
              <w:t>Document 2</w:t>
            </w:r>
            <w:r w:rsidRPr="002723D8">
              <w:rPr>
                <w:rFonts w:eastAsia="Times New Roman" w:cs="Arial"/>
                <w:b/>
                <w:bCs/>
                <w:color w:val="000000"/>
              </w:rPr>
              <w:t xml:space="preserve"> : projection de l’évolution des ventes de produits de gros électroménagers et de l’évolution du n</w:t>
            </w:r>
            <w:r w:rsidRPr="002723D8">
              <w:rPr>
                <w:rFonts w:eastAsia="Times New Roman" w:cs="Arial"/>
                <w:b/>
                <w:bCs/>
                <w:color w:val="000000"/>
              </w:rPr>
              <w:t>ombre de leurs réparations dans les prochaines années en France.</w:t>
            </w:r>
          </w:p>
          <w:p w:rsidR="002723D8" w:rsidRPr="00B5128B" w:rsidRDefault="00316B52" w:rsidP="00B5128B">
            <w:pPr>
              <w:spacing w:before="240" w:after="120" w:line="276" w:lineRule="auto"/>
              <w:jc w:val="right"/>
              <w:rPr>
                <w:rFonts w:eastAsia="Times New Roman" w:cs="Arial"/>
                <w:sz w:val="20"/>
                <w:szCs w:val="20"/>
              </w:rPr>
            </w:pPr>
            <w:r w:rsidRPr="002723D8">
              <w:rPr>
                <w:rFonts w:eastAsia="Times New Roman" w:cs="Arial"/>
                <w:sz w:val="20"/>
                <w:szCs w:val="20"/>
              </w:rPr>
              <w:t xml:space="preserve">Source : </w:t>
            </w:r>
            <w:r w:rsidRPr="002723D8">
              <w:rPr>
                <w:rFonts w:eastAsia="Arial" w:cs="Arial"/>
                <w:sz w:val="20"/>
                <w:szCs w:val="20"/>
              </w:rPr>
              <w:t xml:space="preserve">Benoît TINETTI, Anton BERWALD, Victoire SENLIS. </w:t>
            </w:r>
            <w:r w:rsidRPr="002723D8">
              <w:rPr>
                <w:rFonts w:eastAsia="Times New Roman" w:cs="Arial"/>
                <w:sz w:val="20"/>
                <w:szCs w:val="20"/>
              </w:rPr>
              <w:t xml:space="preserve">(2018). </w:t>
            </w:r>
            <w:r w:rsidRPr="008E10A8">
              <w:rPr>
                <w:rFonts w:eastAsia="Times New Roman" w:cs="Arial"/>
                <w:i/>
                <w:sz w:val="20"/>
                <w:szCs w:val="20"/>
              </w:rPr>
              <w:t>É</w:t>
            </w:r>
            <w:r w:rsidRPr="002723D8">
              <w:rPr>
                <w:rFonts w:eastAsia="Arial" w:cs="Arial"/>
                <w:i/>
                <w:iCs/>
                <w:sz w:val="20"/>
                <w:szCs w:val="20"/>
              </w:rPr>
              <w:t>tat des lieux de l’activité de réparation des appareils électroménagers dans sa relation au produit et à la filiè</w:t>
            </w:r>
            <w:r>
              <w:rPr>
                <w:rFonts w:eastAsia="Arial" w:cs="Arial"/>
                <w:i/>
                <w:iCs/>
                <w:sz w:val="20"/>
                <w:szCs w:val="20"/>
              </w:rPr>
              <w:t>re.</w:t>
            </w:r>
            <w:r>
              <w:rPr>
                <w:rFonts w:eastAsia="Arial" w:cs="Arial"/>
                <w:i/>
                <w:iCs/>
                <w:sz w:val="20"/>
                <w:szCs w:val="20"/>
              </w:rPr>
              <w:br/>
            </w:r>
            <w:r w:rsidRPr="002723D8">
              <w:rPr>
                <w:rFonts w:eastAsia="Arial" w:cs="Arial"/>
                <w:i/>
                <w:iCs/>
                <w:sz w:val="20"/>
                <w:szCs w:val="20"/>
              </w:rPr>
              <w:t>Rap</w:t>
            </w:r>
            <w:r w:rsidRPr="002723D8">
              <w:rPr>
                <w:rFonts w:eastAsia="Times New Roman" w:cs="Arial"/>
                <w:i/>
                <w:iCs/>
                <w:sz w:val="20"/>
                <w:szCs w:val="20"/>
              </w:rPr>
              <w:t>po</w:t>
            </w:r>
            <w:r>
              <w:rPr>
                <w:rFonts w:eastAsia="Times New Roman" w:cs="Arial"/>
                <w:sz w:val="20"/>
                <w:szCs w:val="20"/>
              </w:rPr>
              <w:t xml:space="preserve">rt </w:t>
            </w:r>
            <w:r>
              <w:rPr>
                <w:rFonts w:eastAsia="Times New Roman" w:cs="Arial"/>
                <w:sz w:val="20"/>
                <w:szCs w:val="20"/>
              </w:rPr>
              <w:t>final, phase 2. GIFAM, ADEME</w:t>
            </w:r>
          </w:p>
        </w:tc>
      </w:tr>
    </w:tbl>
    <w:p w:rsidR="006B45DE" w:rsidRDefault="00316B52" w:rsidP="008E10A8">
      <w:pPr>
        <w:spacing w:before="360" w:after="360" w:line="276" w:lineRule="auto"/>
        <w:jc w:val="both"/>
      </w:pPr>
      <w:r w:rsidRPr="3F475BD3">
        <w:rPr>
          <w:rFonts w:eastAsia="Times New Roman" w:cs="Arial"/>
          <w:b/>
          <w:bCs/>
          <w:color w:val="000000" w:themeColor="text1"/>
        </w:rPr>
        <w:t>4.</w:t>
      </w:r>
      <w:r w:rsidRPr="3F475BD3">
        <w:rPr>
          <w:rFonts w:eastAsia="Times New Roman" w:cs="Arial"/>
          <w:color w:val="000000" w:themeColor="text1"/>
        </w:rPr>
        <w:t xml:space="preserve"> À</w:t>
      </w:r>
      <w:bookmarkStart w:id="1" w:name="__DdeLink__2539_407073035"/>
      <w:r w:rsidRPr="3F475BD3">
        <w:rPr>
          <w:rFonts w:eastAsia="Times New Roman" w:cs="Arial"/>
          <w:color w:val="000000" w:themeColor="text1"/>
        </w:rPr>
        <w:t xml:space="preserve"> partir du document 2, montrer que le taux de variation des ventes de produits d</w:t>
      </w:r>
      <w:r>
        <w:rPr>
          <w:rFonts w:eastAsia="Times New Roman" w:cs="Arial"/>
          <w:color w:val="000000" w:themeColor="text1"/>
        </w:rPr>
        <w:t>e gros électroménagers est de +</w:t>
      </w:r>
      <w:r w:rsidRPr="3F475BD3">
        <w:rPr>
          <w:rFonts w:eastAsia="Times New Roman" w:cs="Arial"/>
          <w:color w:val="000000" w:themeColor="text1"/>
        </w:rPr>
        <w:t>1,32 % entre 2016 et 2025, et que celui du</w:t>
      </w:r>
      <w:r>
        <w:rPr>
          <w:rFonts w:eastAsia="Times New Roman" w:cs="Arial"/>
          <w:color w:val="000000" w:themeColor="text1"/>
        </w:rPr>
        <w:t xml:space="preserve"> nombre de réparations est de –</w:t>
      </w:r>
      <w:r w:rsidRPr="3F475BD3">
        <w:rPr>
          <w:rFonts w:eastAsia="Times New Roman" w:cs="Arial"/>
          <w:color w:val="000000" w:themeColor="text1"/>
        </w:rPr>
        <w:t>21,4 %.</w:t>
      </w:r>
      <w:bookmarkEnd w:id="1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0ED5" w:rsidRPr="00FE0ED5" w:rsidTr="00D76F84">
        <w:trPr>
          <w:trHeight w:val="841"/>
        </w:trPr>
        <w:tc>
          <w:tcPr>
            <w:tcW w:w="9060" w:type="dxa"/>
          </w:tcPr>
          <w:p w:rsidR="00FE0ED5" w:rsidRPr="00FE0ED5" w:rsidRDefault="00316B52" w:rsidP="00FE0ED5">
            <w:pPr>
              <w:spacing w:before="120" w:after="120" w:line="276" w:lineRule="auto"/>
              <w:jc w:val="both"/>
              <w:rPr>
                <w:b/>
                <w:bCs/>
              </w:rPr>
            </w:pPr>
            <w:r w:rsidRPr="00FE0ED5">
              <w:rPr>
                <w:rFonts w:eastAsia="Times New Roman" w:cs="Arial"/>
                <w:b/>
                <w:bCs/>
                <w:color w:val="000000" w:themeColor="text1"/>
                <w:u w:val="single"/>
              </w:rPr>
              <w:t>Document 3</w:t>
            </w:r>
            <w:r w:rsidRPr="00FE0ED5">
              <w:rPr>
                <w:rFonts w:eastAsia="Times New Roman" w:cs="Arial"/>
                <w:b/>
                <w:bCs/>
                <w:color w:val="000000" w:themeColor="text1"/>
              </w:rPr>
              <w:t xml:space="preserve"> : extrait d’un rapp</w:t>
            </w:r>
            <w:r w:rsidRPr="00FE0ED5">
              <w:rPr>
                <w:rFonts w:eastAsia="Times New Roman" w:cs="Arial"/>
                <w:b/>
                <w:bCs/>
                <w:color w:val="000000" w:themeColor="text1"/>
              </w:rPr>
              <w:t>ort</w:t>
            </w:r>
            <w:r w:rsidRPr="00FE0ED5">
              <w:rPr>
                <w:rFonts w:eastAsia="Arial" w:cs="Arial"/>
                <w:b/>
                <w:bCs/>
                <w:color w:val="000000" w:themeColor="text1"/>
              </w:rPr>
              <w:t xml:space="preserve"> d’enquête sur les enjeux et solutions en matière de durabilité́ d’un lave</w:t>
            </w:r>
            <w:r>
              <w:rPr>
                <w:rFonts w:eastAsia="Arial" w:cs="Arial"/>
                <w:b/>
                <w:bCs/>
                <w:color w:val="000000" w:themeColor="text1"/>
              </w:rPr>
              <w:t>-</w:t>
            </w:r>
            <w:r w:rsidRPr="00FE0ED5">
              <w:rPr>
                <w:rFonts w:eastAsia="Arial" w:cs="Arial"/>
                <w:b/>
                <w:bCs/>
                <w:color w:val="000000" w:themeColor="text1"/>
              </w:rPr>
              <w:t>linge.</w:t>
            </w:r>
          </w:p>
          <w:p w:rsidR="00FE0ED5" w:rsidRPr="00FE0ED5" w:rsidRDefault="00316B52" w:rsidP="00FE0ED5">
            <w:pPr>
              <w:spacing w:before="120" w:after="120" w:line="276" w:lineRule="auto"/>
              <w:jc w:val="both"/>
            </w:pPr>
            <w:r w:rsidRPr="00FE0ED5">
              <w:t>« Sachant qu’un lave</w:t>
            </w:r>
            <w:r>
              <w:t>-</w:t>
            </w:r>
            <w:r w:rsidRPr="00FE0ED5">
              <w:t>linge pèse en moyenne 70 kg, comment expliquer qu’il faille 2</w:t>
            </w:r>
            <w:r>
              <w:t> </w:t>
            </w:r>
            <w:r w:rsidRPr="00FE0ED5">
              <w:t>tonnes de matières mobilisées ? Un lave</w:t>
            </w:r>
            <w:r>
              <w:t>-</w:t>
            </w:r>
            <w:r w:rsidRPr="00FE0ED5">
              <w:t>linge contient en moyenne 1,4 kg de cuivre par e</w:t>
            </w:r>
            <w:r w:rsidRPr="00FE0ED5">
              <w:t>xemple. C’est une ressource rare et difficile à extraire. Il faut compter 8</w:t>
            </w:r>
            <w:r>
              <w:t> </w:t>
            </w:r>
            <w:r w:rsidRPr="00FE0ED5">
              <w:t xml:space="preserve">tonnes de roches déplacées pour obtenir un seul kilo de cuivre. Cette ressource pèse donc en fait lourd sur son bilan écologique. </w:t>
            </w:r>
          </w:p>
          <w:p w:rsidR="00FE0ED5" w:rsidRPr="00FE0ED5" w:rsidRDefault="00316B52" w:rsidP="00FE0ED5">
            <w:pPr>
              <w:spacing w:before="120" w:after="120" w:line="276" w:lineRule="auto"/>
              <w:jc w:val="both"/>
            </w:pPr>
            <w:r w:rsidRPr="00FE0ED5">
              <w:t>Plus la vie d’un lave</w:t>
            </w:r>
            <w:r>
              <w:t>-</w:t>
            </w:r>
            <w:r w:rsidRPr="00FE0ED5">
              <w:t>linge sera longue, plus son</w:t>
            </w:r>
            <w:r w:rsidRPr="00FE0ED5">
              <w:t xml:space="preserve"> impact écologique sera réduit car cela évite tout simplement la production d’un appareil neuf. »</w:t>
            </w:r>
          </w:p>
          <w:p w:rsidR="00FE0ED5" w:rsidRPr="00FE0ED5" w:rsidRDefault="00316B52" w:rsidP="00D76F84">
            <w:pPr>
              <w:spacing w:before="120" w:after="120" w:line="276" w:lineRule="auto"/>
              <w:jc w:val="right"/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</w:pPr>
            <w:hyperlink r:id="rId15">
              <w:r>
                <w:rPr>
                  <w:rFonts w:eastAsia="Arial" w:cs="Arial"/>
                  <w:color w:val="000000" w:themeColor="text1"/>
                  <w:sz w:val="20"/>
                  <w:szCs w:val="20"/>
                </w:rPr>
                <w:t>Source : Association HOP, septembre 2019</w:t>
              </w:r>
              <w:r w:rsidRPr="00FE0ED5">
                <w:rPr>
                  <w:rFonts w:eastAsia="Arial" w:cs="Arial"/>
                  <w:color w:val="000000" w:themeColor="text1"/>
                  <w:sz w:val="20"/>
                  <w:szCs w:val="20"/>
                </w:rPr>
                <w:t xml:space="preserve">. </w:t>
              </w:r>
              <w:r w:rsidRPr="00FE0ED5">
                <w:rPr>
                  <w:rFonts w:eastAsia="Arial" w:cs="Arial"/>
                  <w:i/>
                  <w:iCs/>
                  <w:color w:val="000000" w:themeColor="text1"/>
                  <w:sz w:val="20"/>
                  <w:szCs w:val="20"/>
                </w:rPr>
                <w:t>Rapport</w:t>
              </w:r>
              <w:r w:rsidRPr="00FE0ED5">
                <w:rPr>
                  <w:rFonts w:eastAsia="Arial" w:cs="Arial"/>
                  <w:i/>
                  <w:iCs/>
                  <w:color w:val="000000" w:themeColor="text1"/>
                  <w:sz w:val="20"/>
                  <w:szCs w:val="20"/>
                </w:rPr>
                <w:t xml:space="preserve"> d’enquête sur les enjeux et solutions en matière de durabilité d</w:t>
              </w:r>
            </w:hyperlink>
            <w:r w:rsidRPr="00FE0ED5"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es lave</w:t>
            </w:r>
            <w:r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-</w:t>
            </w:r>
            <w:r w:rsidRPr="00FE0ED5"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linge</w:t>
            </w:r>
            <w:r>
              <w:rPr>
                <w:rFonts w:eastAsia="Arial" w:cs="Arial"/>
                <w:i/>
                <w:iCs/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6B45DE" w:rsidRDefault="00316B52" w:rsidP="0330BDF7">
      <w:pPr>
        <w:spacing w:after="0" w:line="276" w:lineRule="auto"/>
        <w:ind w:left="708"/>
      </w:pPr>
    </w:p>
    <w:p w:rsidR="00D76F84" w:rsidRDefault="00316B52" w:rsidP="00D76F84">
      <w:pPr>
        <w:spacing w:after="240" w:line="276" w:lineRule="auto"/>
        <w:jc w:val="both"/>
        <w:rPr>
          <w:b/>
          <w:bCs/>
        </w:rPr>
      </w:pPr>
    </w:p>
    <w:p w:rsidR="00D76F84" w:rsidRDefault="00316B52" w:rsidP="00D76F84">
      <w:pPr>
        <w:spacing w:after="240" w:line="276" w:lineRule="auto"/>
        <w:jc w:val="both"/>
        <w:rPr>
          <w:b/>
          <w:bCs/>
        </w:rPr>
      </w:pPr>
    </w:p>
    <w:p w:rsidR="006B45DE" w:rsidRDefault="00316B52" w:rsidP="00D76F84">
      <w:pPr>
        <w:spacing w:after="240" w:line="276" w:lineRule="auto"/>
        <w:jc w:val="both"/>
      </w:pPr>
      <w:r w:rsidRPr="00D76F84">
        <w:rPr>
          <w:b/>
          <w:bCs/>
        </w:rPr>
        <w:t>5</w:t>
      </w:r>
      <w:r w:rsidRPr="00D76F84">
        <w:rPr>
          <w:b/>
        </w:rPr>
        <w:t>.</w:t>
      </w:r>
      <w:r>
        <w:t xml:space="preserve"> À partir de l’ensemble des documents et des taux de variation précédents, expliquer si l’évolution du nombre de réparations permet d’envisager un abaissement de l’emprei</w:t>
      </w:r>
      <w:r>
        <w:t>nte carbone liée aux appareils de gros électroménagers.</w:t>
      </w:r>
    </w:p>
    <w:p w:rsidR="006B45DE" w:rsidRDefault="00316B52" w:rsidP="00D76F84">
      <w:pPr>
        <w:spacing w:after="240" w:line="276" w:lineRule="auto"/>
        <w:jc w:val="both"/>
      </w:pPr>
      <w:r w:rsidRPr="00D76F84">
        <w:rPr>
          <w:b/>
          <w:bCs/>
        </w:rPr>
        <w:t>6</w:t>
      </w:r>
      <w:r w:rsidRPr="00D76F84">
        <w:rPr>
          <w:b/>
        </w:rPr>
        <w:t>.</w:t>
      </w:r>
      <w:r>
        <w:t> À partir de vos connaissances et des documents 1 et 3, proposer des comportements permettant de minimiser l’empreinte carbone d’un lave-linge.</w:t>
      </w:r>
    </w:p>
    <w:sectPr w:rsidR="006B45DE" w:rsidSect="00E61EB3">
      <w:headerReference w:type="even" r:id="rId16"/>
      <w:headerReference w:type="default" r:id="rId17"/>
      <w:footerReference w:type="even" r:id="rId18"/>
      <w:footerReference w:type="default" r:id="rId19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6B52" w:rsidRPr="00316B52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6B52" w:rsidRPr="00316B52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6B52" w:rsidRPr="00316B5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316B52" w:rsidRPr="00316B52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16B52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D82CFD"/>
    <w:pPr>
      <w:suppressLineNumbers/>
    </w:pPr>
    <w:rPr>
      <w:rFonts w:ascii="Liberation Serif" w:eastAsia="SimSun" w:hAnsi="Liberation Serif" w:cs="Arial"/>
      <w:color w:val="00000A"/>
      <w:lang w:eastAsia="zh-CN" w:bidi="hi-IN"/>
    </w:rPr>
  </w:style>
  <w:style w:type="character" w:styleId="Lienhypertexte">
    <w:name w:val="Hyperlink"/>
    <w:basedOn w:val="Policepardfaut"/>
    <w:uiPriority w:val="99"/>
    <w:unhideWhenUsed/>
    <w:rsid w:val="00587B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santepubliquefrance.fr/presse/2016/impacts-sanitaires-de-la-pollution-de-l-air-en-france-nouvelles-donnees-et-perspectives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halteobsolescence.org/wp-content/uploads/2019/09/Rapport-lave-linge-final.pdf" TargetMode="External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1284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