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D154E7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154E7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4E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4E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D154E7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D154E7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154E7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D154E7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D154E7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D154E7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154E7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4E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4E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4E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D154E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D154E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D154E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D154E7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154E7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D154E7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D154E7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D154E7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D154E7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D154E7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D154E7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960E9D" w:rsidRPr="00A77456" w:rsidRDefault="00D154E7" w:rsidP="00960E9D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60E9D" w:rsidRPr="00A77456" w:rsidRDefault="00D154E7" w:rsidP="00960E9D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960E9D" w:rsidRPr="00D87AD1" w:rsidRDefault="00D154E7" w:rsidP="00960E9D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L’Arctique, espace fragile et convoité</w:t>
      </w:r>
    </w:p>
    <w:p w:rsidR="00960E9D" w:rsidRPr="000E2C8B" w:rsidRDefault="00D154E7" w:rsidP="00960E9D">
      <w:pPr>
        <w:spacing w:after="240"/>
        <w:rPr>
          <w:i/>
        </w:rPr>
      </w:pPr>
      <w:r w:rsidRPr="00D74F67">
        <w:rPr>
          <w:i/>
        </w:rPr>
        <w:t>Sur 10 points</w:t>
      </w:r>
    </w:p>
    <w:p w:rsidR="00C64D11" w:rsidRPr="002C501F" w:rsidRDefault="00D154E7" w:rsidP="006637FE">
      <w:pPr>
        <w:spacing w:after="120" w:line="257" w:lineRule="auto"/>
        <w:jc w:val="both"/>
        <w:rPr>
          <w:rFonts w:cs="Arial"/>
        </w:rPr>
      </w:pPr>
      <w:r w:rsidRPr="002C501F">
        <w:rPr>
          <w:rFonts w:cs="Arial"/>
          <w:noProof/>
        </w:rPr>
        <w:drawing>
          <wp:anchor distT="107950" distB="107950" distL="180340" distR="114300" simplePos="0" relativeHeight="251656192" behindDoc="0" locked="0" layoutInCell="1" allowOverlap="1" wp14:anchorId="11490A9E" wp14:editId="7FC3BE78">
            <wp:simplePos x="0" y="0"/>
            <wp:positionH relativeFrom="margin">
              <wp:posOffset>2934970</wp:posOffset>
            </wp:positionH>
            <wp:positionV relativeFrom="paragraph">
              <wp:posOffset>247015</wp:posOffset>
            </wp:positionV>
            <wp:extent cx="2762885" cy="3038475"/>
            <wp:effectExtent l="0" t="0" r="0" b="9525"/>
            <wp:wrapSquare wrapText="bothSides"/>
            <wp:docPr id="1" name="Image 7" descr="Une image contenant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 descr="Une image contenant cart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98D8AD9">
        <w:rPr>
          <w:rFonts w:cs="Arial"/>
        </w:rPr>
        <w:t xml:space="preserve">L’océan Arctique s'étend sur </w:t>
      </w:r>
      <w:r w:rsidRPr="198D8AD9">
        <w:rPr>
          <w:rFonts w:cs="Arial"/>
        </w:rPr>
        <w:t>une surface d'environ 14 millions de k</w:t>
      </w:r>
      <w:r w:rsidRPr="198D8AD9">
        <w:rPr>
          <w:rFonts w:eastAsia="Arial" w:cs="Arial"/>
        </w:rPr>
        <w:t>m</w:t>
      </w:r>
      <w:r w:rsidRPr="198D8AD9">
        <w:rPr>
          <w:rFonts w:eastAsia="Arial" w:cs="Arial"/>
          <w:vertAlign w:val="superscript"/>
        </w:rPr>
        <w:t>2</w:t>
      </w:r>
      <w:r w:rsidRPr="198D8AD9">
        <w:rPr>
          <w:rFonts w:cs="Arial"/>
        </w:rPr>
        <w:t xml:space="preserve">, ce qui en fait le plus petit océan. Il est recouvert en grande partie par la banquise arctique (appelée également glace de mer) qui présente des variations saisonnières. </w:t>
      </w:r>
    </w:p>
    <w:p w:rsidR="00C64D11" w:rsidRPr="002C501F" w:rsidRDefault="00D154E7" w:rsidP="006637FE">
      <w:pPr>
        <w:spacing w:after="120" w:line="257" w:lineRule="auto"/>
        <w:jc w:val="both"/>
        <w:rPr>
          <w:rFonts w:cs="Arial"/>
        </w:rPr>
      </w:pPr>
      <w:r w:rsidRPr="198D8AD9">
        <w:rPr>
          <w:rFonts w:cs="Arial"/>
        </w:rPr>
        <w:t>La surface et l’albédo de cette glace de mer tendent à se réduire en raison du réchauffement climatique. La fonte estivale de cette banquise rend de plus en plus praticable « le passage maritime du Nord-Ouest », qui relie l’océan Atlantique à l’océan Pacif</w:t>
      </w:r>
      <w:r w:rsidRPr="198D8AD9">
        <w:rPr>
          <w:rFonts w:cs="Arial"/>
        </w:rPr>
        <w:t>ique en passant entre les îles du Grand Nord canadien. Outre les perspectives de route commerciale, ce passage ouvre des appétits de prospections des ressources (réserves d’hydrocarbures) et donne lieu à des controverses sur son statut.</w:t>
      </w:r>
      <w:r>
        <w:rPr>
          <w:rFonts w:cs="Arial"/>
        </w:rPr>
        <w:t xml:space="preserve"> </w:t>
      </w:r>
      <w:r w:rsidRPr="198D8AD9">
        <w:rPr>
          <w:rFonts w:cs="Arial"/>
        </w:rPr>
        <w:t xml:space="preserve"> </w:t>
      </w:r>
    </w:p>
    <w:p w:rsidR="003A052D" w:rsidRDefault="00D154E7" w:rsidP="003A052D">
      <w:pPr>
        <w:spacing w:after="240"/>
        <w:ind w:left="709"/>
        <w:jc w:val="right"/>
        <w:rPr>
          <w:rFonts w:cs="Arial"/>
          <w:i/>
          <w:iCs/>
          <w:sz w:val="22"/>
        </w:rPr>
      </w:pPr>
      <w:r w:rsidRPr="006637FE">
        <w:rPr>
          <w:rFonts w:cs="Arial"/>
          <w:i/>
          <w:iCs/>
          <w:sz w:val="22"/>
        </w:rPr>
        <w:t>D’après Collectio</w:t>
      </w:r>
      <w:r w:rsidRPr="006637FE">
        <w:rPr>
          <w:rFonts w:cs="Arial"/>
          <w:i/>
          <w:iCs/>
          <w:sz w:val="22"/>
        </w:rPr>
        <w:t>n Grand Atlas – Courrier international</w:t>
      </w:r>
    </w:p>
    <w:p w:rsidR="003A052D" w:rsidRPr="003A052D" w:rsidRDefault="00D154E7" w:rsidP="003A052D">
      <w:pPr>
        <w:pStyle w:val="zeta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3A052D">
        <w:rPr>
          <w:rFonts w:ascii="Arial" w:hAnsi="Arial" w:cs="Arial"/>
          <w:bCs/>
        </w:rPr>
        <w:t xml:space="preserve">À l’aide des informations apportées par les </w:t>
      </w:r>
      <w:r>
        <w:rPr>
          <w:rFonts w:ascii="Arial" w:hAnsi="Arial" w:cs="Arial"/>
          <w:bCs/>
        </w:rPr>
        <w:t xml:space="preserve">quatre </w:t>
      </w:r>
      <w:r w:rsidRPr="003A052D">
        <w:rPr>
          <w:rFonts w:ascii="Arial" w:hAnsi="Arial" w:cs="Arial"/>
          <w:bCs/>
        </w:rPr>
        <w:t xml:space="preserve">documents </w:t>
      </w:r>
      <w:r>
        <w:rPr>
          <w:rFonts w:ascii="Arial" w:hAnsi="Arial" w:cs="Arial"/>
          <w:bCs/>
        </w:rPr>
        <w:t xml:space="preserve">placés en fin d’exercice </w:t>
      </w:r>
      <w:r w:rsidRPr="003A052D">
        <w:rPr>
          <w:rFonts w:ascii="Arial" w:hAnsi="Arial" w:cs="Arial"/>
          <w:bCs/>
        </w:rPr>
        <w:t xml:space="preserve">et de vos connaissances, répondre aux </w:t>
      </w:r>
      <w:r>
        <w:rPr>
          <w:rFonts w:ascii="Arial" w:hAnsi="Arial" w:cs="Arial"/>
          <w:bCs/>
        </w:rPr>
        <w:t>questions suivantes.</w:t>
      </w:r>
    </w:p>
    <w:p w:rsidR="003A052D" w:rsidRPr="002C501F" w:rsidRDefault="00D154E7" w:rsidP="003A052D">
      <w:pPr>
        <w:pStyle w:val="zet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A052D" w:rsidRPr="002C501F" w:rsidRDefault="00D154E7" w:rsidP="003A052D">
      <w:pPr>
        <w:jc w:val="both"/>
        <w:rPr>
          <w:rFonts w:cs="Arial"/>
        </w:rPr>
      </w:pPr>
      <w:r>
        <w:rPr>
          <w:rFonts w:cs="Arial"/>
          <w:b/>
          <w:bCs/>
        </w:rPr>
        <w:t>1-</w:t>
      </w:r>
      <w:r w:rsidRPr="198D8AD9">
        <w:rPr>
          <w:rFonts w:cs="Arial"/>
        </w:rPr>
        <w:t xml:space="preserve"> Pour chacune des 5 séries ci-dessous, noter sur votre copie la lettr</w:t>
      </w:r>
      <w:r w:rsidRPr="198D8AD9">
        <w:rPr>
          <w:rFonts w:cs="Arial"/>
        </w:rPr>
        <w:t xml:space="preserve">e correspondant </w:t>
      </w:r>
      <w:r w:rsidRPr="198D8AD9">
        <w:rPr>
          <w:rFonts w:eastAsia="Arial" w:cs="Arial"/>
        </w:rPr>
        <w:t>à l’affirmation exacte.</w:t>
      </w:r>
    </w:p>
    <w:p w:rsidR="003A052D" w:rsidRPr="002C501F" w:rsidRDefault="00D154E7" w:rsidP="00756243">
      <w:pPr>
        <w:spacing w:after="120" w:line="276" w:lineRule="auto"/>
        <w:ind w:left="284"/>
        <w:jc w:val="both"/>
        <w:rPr>
          <w:rFonts w:cs="Arial"/>
        </w:rPr>
      </w:pPr>
      <w:r w:rsidRPr="00160888">
        <w:rPr>
          <w:rFonts w:cs="Arial"/>
          <w:b/>
        </w:rPr>
        <w:t>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a</w:t>
      </w:r>
      <w:r>
        <w:rPr>
          <w:rFonts w:cs="Arial"/>
        </w:rPr>
        <w:t xml:space="preserve"> différence entre la</w:t>
      </w:r>
      <w:r w:rsidRPr="002C501F">
        <w:rPr>
          <w:rFonts w:cs="Arial"/>
        </w:rPr>
        <w:t xml:space="preserve"> banquise </w:t>
      </w:r>
      <w:r>
        <w:rPr>
          <w:rFonts w:cs="Arial"/>
        </w:rPr>
        <w:t>et la calotte glaciaire (ou glacier) est :</w:t>
      </w:r>
    </w:p>
    <w:p w:rsidR="003A052D" w:rsidRPr="002C501F" w:rsidRDefault="00D154E7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a)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plaque de glace posée sur le sol </w:t>
      </w:r>
      <w:r>
        <w:rPr>
          <w:rFonts w:cs="Arial"/>
        </w:rPr>
        <w:t>alors que la calotte glaciaire est une couche d’eau de mer qui flotte sur l’océan.</w:t>
      </w:r>
    </w:p>
    <w:p w:rsidR="003A052D" w:rsidRPr="002C501F" w:rsidRDefault="00D154E7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couche de glace d'eau de mer qui flotte sur l'océan </w:t>
      </w:r>
      <w:r>
        <w:rPr>
          <w:rFonts w:cs="Arial"/>
        </w:rPr>
        <w:t>alors que la calotte glaciaire est de l’eau douce gelée sur un continent.</w:t>
      </w:r>
    </w:p>
    <w:p w:rsidR="003A052D" w:rsidRDefault="00D154E7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lastRenderedPageBreak/>
        <w:t xml:space="preserve">c)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couche de glace issue des glaciers qui flotte sur l'océan </w:t>
      </w:r>
      <w:r>
        <w:rPr>
          <w:rFonts w:cs="Arial"/>
        </w:rPr>
        <w:t xml:space="preserve">alors que la calotte </w:t>
      </w:r>
      <w:r>
        <w:rPr>
          <w:rFonts w:cs="Arial"/>
        </w:rPr>
        <w:t>glaciaire est u</w:t>
      </w:r>
      <w:r w:rsidRPr="0083393E">
        <w:rPr>
          <w:rFonts w:cs="Arial"/>
        </w:rPr>
        <w:t>ne couche d’eau de mer gelée posée sur le sol</w:t>
      </w:r>
      <w:r>
        <w:rPr>
          <w:rFonts w:cs="Arial"/>
        </w:rPr>
        <w:t>.</w:t>
      </w:r>
    </w:p>
    <w:p w:rsidR="003A052D" w:rsidRPr="0083393E" w:rsidRDefault="00D154E7" w:rsidP="00A36B38">
      <w:pPr>
        <w:spacing w:after="240" w:line="276" w:lineRule="auto"/>
        <w:ind w:left="851" w:hanging="284"/>
        <w:jc w:val="both"/>
        <w:rPr>
          <w:rFonts w:cs="Arial"/>
        </w:rPr>
      </w:pPr>
      <w:r>
        <w:rPr>
          <w:rFonts w:cs="Arial"/>
        </w:rPr>
        <w:t>d) Il n’y a pas de différence, on utilise les deux termes indifféremment.</w:t>
      </w:r>
    </w:p>
    <w:p w:rsidR="003A052D" w:rsidRPr="002C501F" w:rsidRDefault="00D154E7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a banquise estivale a fondu en 30 ans, depuis les années 1980 </w:t>
      </w:r>
      <w:r>
        <w:rPr>
          <w:rFonts w:cs="Arial"/>
        </w:rPr>
        <w:t>de :</w:t>
      </w:r>
      <w:r w:rsidRPr="002C501F">
        <w:rPr>
          <w:rFonts w:cs="Arial"/>
        </w:rPr>
        <w:t xml:space="preserve"> </w:t>
      </w:r>
    </w:p>
    <w:p w:rsidR="003A052D" w:rsidRPr="002C501F" w:rsidRDefault="00D154E7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Environ 1 million de km</w:t>
      </w:r>
      <w:r w:rsidRPr="0083393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D154E7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 xml:space="preserve">b) Environ 3 </w:t>
      </w:r>
      <w:r w:rsidRPr="002C501F">
        <w:rPr>
          <w:rFonts w:cs="Arial"/>
        </w:rPr>
        <w:t>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Default="00D154E7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c) Environ 6 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D154E7" w:rsidP="00A36B38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Plus de 7 millions de km</w:t>
      </w:r>
      <w:r w:rsidRPr="005326AE">
        <w:rPr>
          <w:rFonts w:cs="Arial"/>
          <w:vertAlign w:val="superscript"/>
        </w:rPr>
        <w:t>2</w:t>
      </w:r>
      <w:r w:rsidRPr="00756243">
        <w:rPr>
          <w:rFonts w:cs="Arial"/>
        </w:rPr>
        <w:t>.</w:t>
      </w:r>
    </w:p>
    <w:p w:rsidR="003A052D" w:rsidRPr="002C501F" w:rsidRDefault="00D154E7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III-</w:t>
      </w:r>
      <w:r w:rsidRPr="002C501F">
        <w:rPr>
          <w:rFonts w:cs="Arial"/>
        </w:rPr>
        <w:t xml:space="preserve"> L'albedo est :</w:t>
      </w:r>
    </w:p>
    <w:p w:rsidR="003A052D" w:rsidRPr="002C501F" w:rsidRDefault="00D154E7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a) Le pouv</w:t>
      </w:r>
      <w:r>
        <w:rPr>
          <w:rFonts w:cs="Arial"/>
        </w:rPr>
        <w:t>oir réfléchissant d'une surface.</w:t>
      </w:r>
    </w:p>
    <w:p w:rsidR="003A052D" w:rsidRPr="002C501F" w:rsidRDefault="00D154E7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Le </w:t>
      </w:r>
      <w:r>
        <w:rPr>
          <w:rFonts w:cs="Arial"/>
        </w:rPr>
        <w:t>pouvoir absorbant d'une surface.</w:t>
      </w:r>
    </w:p>
    <w:p w:rsidR="003A052D" w:rsidRDefault="00D154E7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c) Augmenté par la fonte des glaces ce qui entraine une rétroaction positive</w:t>
      </w:r>
      <w:r>
        <w:rPr>
          <w:rFonts w:cs="Arial"/>
        </w:rPr>
        <w:t>.</w:t>
      </w:r>
      <w:r w:rsidRPr="002C501F">
        <w:rPr>
          <w:rFonts w:cs="Arial"/>
        </w:rPr>
        <w:t xml:space="preserve"> </w:t>
      </w:r>
    </w:p>
    <w:p w:rsidR="003A052D" w:rsidRPr="002C501F" w:rsidRDefault="00D154E7" w:rsidP="00756243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>d) Diminué par la fonte des glaces mais cela n’a pas de conséquence majeure sur le climat.</w:t>
      </w:r>
    </w:p>
    <w:p w:rsidR="003A052D" w:rsidRPr="002C501F" w:rsidRDefault="00D154E7" w:rsidP="00756243">
      <w:pPr>
        <w:spacing w:after="120"/>
        <w:ind w:left="284"/>
        <w:jc w:val="both"/>
        <w:rPr>
          <w:rFonts w:cs="Arial"/>
        </w:rPr>
      </w:pPr>
      <w:r w:rsidRPr="00756243">
        <w:rPr>
          <w:rFonts w:cs="Arial"/>
          <w:b/>
        </w:rPr>
        <w:t>IV-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es causes majeures de l'élévation du niveau marin </w:t>
      </w:r>
      <w:r>
        <w:rPr>
          <w:rFonts w:cs="Arial"/>
        </w:rPr>
        <w:t>sont :</w:t>
      </w:r>
    </w:p>
    <w:p w:rsidR="003A052D" w:rsidRPr="002C501F" w:rsidRDefault="00D154E7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La fonte de la banquise et la dilatation thermique des océans</w:t>
      </w:r>
      <w:r>
        <w:rPr>
          <w:rFonts w:cs="Arial"/>
        </w:rPr>
        <w:t>.</w:t>
      </w:r>
    </w:p>
    <w:p w:rsidR="003A052D" w:rsidRPr="002C501F" w:rsidRDefault="00D154E7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b) La f</w:t>
      </w:r>
      <w:r>
        <w:rPr>
          <w:rFonts w:cs="Arial"/>
        </w:rPr>
        <w:t>usion des glaces continental</w:t>
      </w:r>
      <w:r>
        <w:rPr>
          <w:rFonts w:cs="Arial"/>
        </w:rPr>
        <w:t>es</w:t>
      </w:r>
      <w:r w:rsidRPr="002C501F">
        <w:rPr>
          <w:rFonts w:cs="Arial"/>
        </w:rPr>
        <w:t xml:space="preserve"> et la dilatation thermique des océans</w:t>
      </w:r>
      <w:r>
        <w:rPr>
          <w:rFonts w:cs="Arial"/>
        </w:rPr>
        <w:t>.</w:t>
      </w:r>
    </w:p>
    <w:p w:rsidR="003A052D" w:rsidRDefault="00D154E7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c) La dilatation thermique des océans et l’augmentation de la pluviométrie</w:t>
      </w:r>
      <w:r>
        <w:rPr>
          <w:rFonts w:cs="Arial"/>
        </w:rPr>
        <w:t>.</w:t>
      </w:r>
    </w:p>
    <w:p w:rsidR="003A052D" w:rsidRPr="002C501F" w:rsidRDefault="00D154E7" w:rsidP="00437267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La baisse du niveau des continents qui s’affaissent au cours du temps.</w:t>
      </w:r>
    </w:p>
    <w:p w:rsidR="003A052D" w:rsidRPr="002C501F" w:rsidRDefault="00D154E7" w:rsidP="009458E9">
      <w:pPr>
        <w:spacing w:after="120"/>
        <w:ind w:left="284"/>
        <w:jc w:val="both"/>
        <w:rPr>
          <w:rFonts w:cs="Arial"/>
        </w:rPr>
      </w:pPr>
      <w:r w:rsidRPr="009458E9">
        <w:rPr>
          <w:rFonts w:cs="Arial"/>
          <w:b/>
        </w:rPr>
        <w:t>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es changements en Arctique risquent</w:t>
      </w:r>
      <w:r>
        <w:rPr>
          <w:rFonts w:cs="Arial"/>
        </w:rPr>
        <w:t xml:space="preserve"> </w:t>
      </w:r>
      <w:r w:rsidRPr="002C501F">
        <w:rPr>
          <w:rFonts w:cs="Arial"/>
        </w:rPr>
        <w:t xml:space="preserve">d'affecter l’économie mondiale </w:t>
      </w:r>
      <w:r>
        <w:rPr>
          <w:rFonts w:cs="Arial"/>
        </w:rPr>
        <w:t xml:space="preserve">car : </w:t>
      </w:r>
    </w:p>
    <w:p w:rsidR="003A052D" w:rsidRPr="00B22AE5" w:rsidRDefault="00D154E7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 xml:space="preserve">a) </w:t>
      </w:r>
      <w:r w:rsidRPr="00B22AE5">
        <w:rPr>
          <w:rFonts w:cs="Arial"/>
        </w:rPr>
        <w:t>En raison de la fonte des glaciers, de plus en plus de personnes pourront aller habiter en Arctique</w:t>
      </w:r>
      <w:r>
        <w:rPr>
          <w:rFonts w:cs="Arial"/>
        </w:rPr>
        <w:t>.</w:t>
      </w:r>
    </w:p>
    <w:p w:rsidR="003A052D" w:rsidRPr="00B22AE5" w:rsidRDefault="00D154E7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b) </w:t>
      </w:r>
      <w:r w:rsidRPr="00B22AE5">
        <w:rPr>
          <w:rFonts w:cs="Arial"/>
        </w:rPr>
        <w:t>Les passages maritimes sont facilités entre l’océan Atlantique et l’océan Indien</w:t>
      </w:r>
      <w:r>
        <w:rPr>
          <w:rFonts w:cs="Arial"/>
        </w:rPr>
        <w:t>.</w:t>
      </w:r>
    </w:p>
    <w:p w:rsidR="003A052D" w:rsidRPr="00B22AE5" w:rsidRDefault="00D154E7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c) </w:t>
      </w:r>
      <w:r w:rsidRPr="00B22AE5">
        <w:rPr>
          <w:rFonts w:cs="Arial"/>
        </w:rPr>
        <w:t xml:space="preserve">De nouveaux passages sont </w:t>
      </w:r>
      <w:r w:rsidRPr="00B22AE5">
        <w:rPr>
          <w:rFonts w:cs="Arial"/>
        </w:rPr>
        <w:t>possibles en bateau au niveau du grand Nord canadien.</w:t>
      </w:r>
    </w:p>
    <w:p w:rsidR="00094CF0" w:rsidRDefault="00D154E7" w:rsidP="00094CF0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>d) </w:t>
      </w:r>
      <w:r w:rsidRPr="00B22AE5">
        <w:rPr>
          <w:rFonts w:cs="Arial"/>
        </w:rPr>
        <w:t>Il n’y aura pas d’incidence sur l’économie mondiale, l’Arctique n’est pas impliqué dans les prises de décision géopolitiques.</w:t>
      </w:r>
      <w:r>
        <w:rPr>
          <w:rFonts w:cs="Arial"/>
        </w:rPr>
        <w:br w:type="page"/>
      </w:r>
    </w:p>
    <w:p w:rsidR="003A052D" w:rsidRDefault="00D154E7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Default="00D154E7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Pr="002C501F" w:rsidRDefault="00D154E7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3A052D" w:rsidRDefault="00D154E7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2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À</w:t>
      </w:r>
      <w:r w:rsidRPr="002C501F">
        <w:rPr>
          <w:rFonts w:cs="Arial"/>
        </w:rPr>
        <w:t xml:space="preserve"> partir de l’interprétation du document 2, discuter du rôle de la</w:t>
      </w:r>
      <w:r w:rsidRPr="002C501F">
        <w:rPr>
          <w:rFonts w:cs="Arial"/>
        </w:rPr>
        <w:t xml:space="preserve"> fonte des glaces sur la montée du niveau des océans</w:t>
      </w:r>
      <w:r>
        <w:rPr>
          <w:rFonts w:cs="Arial"/>
        </w:rPr>
        <w:t xml:space="preserve"> en </w:t>
      </w:r>
      <w:r w:rsidRPr="002C501F">
        <w:rPr>
          <w:rFonts w:cs="Arial"/>
        </w:rPr>
        <w:t>fai</w:t>
      </w:r>
      <w:r>
        <w:rPr>
          <w:rFonts w:cs="Arial"/>
        </w:rPr>
        <w:t>sant</w:t>
      </w:r>
      <w:r w:rsidRPr="002C501F">
        <w:rPr>
          <w:rFonts w:cs="Arial"/>
        </w:rPr>
        <w:t xml:space="preserve"> apparaitre la différence entre une banquise et un glacier.</w:t>
      </w:r>
    </w:p>
    <w:p w:rsidR="003A052D" w:rsidRDefault="00D154E7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3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Dans le cadre des hypothèses du document 3 : </w:t>
      </w:r>
    </w:p>
    <w:p w:rsidR="003A052D" w:rsidRPr="00B22AE5" w:rsidRDefault="00D154E7" w:rsidP="00094CF0">
      <w:pPr>
        <w:spacing w:after="240"/>
        <w:jc w:val="both"/>
        <w:rPr>
          <w:rFonts w:eastAsia="Times New Roman" w:cs="Arial"/>
        </w:rPr>
      </w:pPr>
      <w:r>
        <w:rPr>
          <w:rFonts w:cs="Arial"/>
          <w:b/>
          <w:bCs/>
        </w:rPr>
        <w:t>3-1-</w:t>
      </w:r>
      <w:r>
        <w:rPr>
          <w:rFonts w:cs="Arial"/>
        </w:rPr>
        <w:t>  </w:t>
      </w:r>
      <w:r w:rsidRPr="70465F72">
        <w:rPr>
          <w:rFonts w:cs="Arial"/>
        </w:rPr>
        <w:t xml:space="preserve">Calculer le volume </w:t>
      </w:r>
      <w:r w:rsidRPr="70465F72">
        <w:rPr>
          <w:rFonts w:eastAsia="Times New Roman" w:cs="Arial"/>
        </w:rPr>
        <w:t>V</w:t>
      </w:r>
      <w:r w:rsidRPr="70465F72">
        <w:rPr>
          <w:rFonts w:eastAsia="Times New Roman" w:cs="Arial"/>
          <w:vertAlign w:val="subscript"/>
        </w:rPr>
        <w:t>0</w:t>
      </w:r>
      <w:r w:rsidRPr="70465F72">
        <w:rPr>
          <w:rFonts w:eastAsia="Times New Roman" w:cs="Arial"/>
        </w:rPr>
        <w:t xml:space="preserve"> d’eau des océans qui subirait un changement de température.</w:t>
      </w:r>
    </w:p>
    <w:p w:rsidR="003A052D" w:rsidRPr="00B22AE5" w:rsidRDefault="00D154E7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3-2-</w:t>
      </w:r>
      <w:r>
        <w:rPr>
          <w:rFonts w:cs="Arial"/>
        </w:rPr>
        <w:t>  </w:t>
      </w:r>
      <w:r w:rsidRPr="70465F72">
        <w:rPr>
          <w:rFonts w:cs="Arial"/>
        </w:rPr>
        <w:t>En utilisant la formule proposée, évaluer l’augmentation de la hauteur d’eau des océans due au seul phénomène de dilatation thermique de l’eau présente dans l’ensemble des océans du globe</w:t>
      </w:r>
    </w:p>
    <w:p w:rsidR="003A052D" w:rsidRDefault="00D154E7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</w:t>
      </w:r>
      <w:r>
        <w:rPr>
          <w:rFonts w:cs="Arial"/>
          <w:b/>
          <w:bCs/>
        </w:rPr>
        <w:t>-3-</w:t>
      </w:r>
      <w:r>
        <w:rPr>
          <w:rFonts w:cs="Arial"/>
        </w:rPr>
        <w:t>  </w:t>
      </w:r>
      <w:r w:rsidRPr="00B22AE5">
        <w:rPr>
          <w:rFonts w:cs="Arial"/>
        </w:rPr>
        <w:t>Justifier le fait que dans le calcul proposé dans le document 3, on ne prenne en compte que les 1000 premiers mètres de l’océan.</w:t>
      </w:r>
    </w:p>
    <w:p w:rsidR="009808F2" w:rsidRDefault="00D154E7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281190" w:rsidRPr="00281190" w:rsidTr="00094CF0">
        <w:trPr>
          <w:trHeight w:val="4085"/>
          <w:jc w:val="center"/>
        </w:trPr>
        <w:tc>
          <w:tcPr>
            <w:tcW w:w="9060" w:type="dxa"/>
          </w:tcPr>
          <w:p w:rsidR="00281190" w:rsidRPr="00281190" w:rsidRDefault="00D154E7" w:rsidP="00281190">
            <w:pPr>
              <w:spacing w:before="120" w:after="120"/>
              <w:jc w:val="both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rFonts w:cs="Arial"/>
                <w:b/>
                <w:i w:val="0"/>
                <w:iCs w:val="0"/>
                <w:bdr w:val="none" w:sz="0" w:space="0" w:color="auto" w:frame="1"/>
                <w:shd w:val="clear" w:color="auto" w:fill="FFFFFF"/>
              </w:rPr>
              <w:lastRenderedPageBreak/>
              <w:t>Document 1</w:t>
            </w:r>
            <w:r w:rsidRPr="00DA6D92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 </w:t>
            </w:r>
            <w:r w:rsidRPr="00904808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: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Extension de la glace de mer de l’Arctique </w:t>
            </w:r>
            <w:r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>au mois de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septembre de 1979 à 2020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281190" w:rsidRPr="00281190" w:rsidRDefault="00D154E7" w:rsidP="00845DDB">
            <w:pPr>
              <w:spacing w:after="0"/>
              <w:jc w:val="center"/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i w:val="0"/>
                <w:iCs w:val="0"/>
                <w:noProof/>
              </w:rPr>
              <w:drawing>
                <wp:inline distT="0" distB="0" distL="0" distR="0" wp14:anchorId="112922B9" wp14:editId="7225C9C1">
                  <wp:extent cx="5219065" cy="2037715"/>
                  <wp:effectExtent l="0" t="0" r="0" b="635"/>
                  <wp:docPr id="2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2" t="9623" r="-18" b="4571"/>
                          <a:stretch/>
                        </pic:blipFill>
                        <pic:spPr bwMode="auto">
                          <a:xfrm>
                            <a:off x="0" y="0"/>
                            <a:ext cx="5226595" cy="204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81190" w:rsidRPr="00281190" w:rsidRDefault="00D154E7" w:rsidP="004B2EAB">
            <w:pPr>
              <w:jc w:val="right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845DDB">
              <w:rPr>
                <w:rStyle w:val="Accentuation"/>
                <w:rFonts w:cs="Arial"/>
                <w:sz w:val="22"/>
                <w:bdr w:val="none" w:sz="0" w:space="0" w:color="auto" w:frame="1"/>
                <w:shd w:val="clear" w:color="auto" w:fill="FFFFFF"/>
                <w:lang w:val="en-US"/>
              </w:rPr>
              <w:t>D’après National Snow and</w:t>
            </w:r>
            <w:r w:rsidRPr="00845DDB">
              <w:rPr>
                <w:rStyle w:val="Accentuation"/>
                <w:rFonts w:cs="Arial"/>
                <w:sz w:val="22"/>
                <w:bdr w:val="none" w:sz="0" w:space="0" w:color="auto" w:frame="1"/>
                <w:shd w:val="clear" w:color="auto" w:fill="FFFFFF"/>
                <w:lang w:val="en-US"/>
              </w:rPr>
              <w:t xml:space="preserve"> Ice Data Center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</w:p>
        </w:tc>
      </w:tr>
    </w:tbl>
    <w:p w:rsidR="00C64D11" w:rsidRPr="00F47F88" w:rsidRDefault="00D154E7" w:rsidP="00C64D11">
      <w:pPr>
        <w:ind w:left="709"/>
        <w:jc w:val="right"/>
        <w:rPr>
          <w:rStyle w:val="Accentuation"/>
          <w:rFonts w:cs="Arial"/>
          <w:bdr w:val="none" w:sz="0" w:space="0" w:color="auto" w:frame="1"/>
          <w:shd w:val="clear" w:color="auto" w:fill="FFFFFF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973B0C" w:rsidRPr="00973B0C" w:rsidTr="00F118B1">
        <w:trPr>
          <w:trHeight w:val="5899"/>
          <w:jc w:val="center"/>
        </w:trPr>
        <w:tc>
          <w:tcPr>
            <w:tcW w:w="9070" w:type="dxa"/>
          </w:tcPr>
          <w:p w:rsidR="00973B0C" w:rsidRPr="00973B0C" w:rsidRDefault="00D154E7" w:rsidP="00973B0C">
            <w:pPr>
              <w:spacing w:before="120" w:after="120"/>
              <w:rPr>
                <w:rFonts w:cs="Arial"/>
                <w:bdr w:val="none" w:sz="0" w:space="0" w:color="auto" w:frame="1"/>
                <w:shd w:val="clear" w:color="auto" w:fill="FFFFFF"/>
              </w:rPr>
            </w:pPr>
            <w:r w:rsidRPr="00973B0C">
              <w:rPr>
                <w:rFonts w:cs="Arial"/>
                <w:b/>
                <w:bdr w:val="none" w:sz="0" w:space="0" w:color="auto" w:frame="1"/>
                <w:shd w:val="clear" w:color="auto" w:fill="FFFFFF"/>
              </w:rPr>
              <w:t>Document 2 :</w:t>
            </w:r>
            <w:r w:rsidRPr="00973B0C">
              <w:rPr>
                <w:rFonts w:cs="Arial"/>
                <w:bdr w:val="none" w:sz="0" w:space="0" w:color="auto" w:frame="1"/>
                <w:shd w:val="clear" w:color="auto" w:fill="FFFFFF"/>
              </w:rPr>
              <w:t xml:space="preserve"> Simulation expérimentale des effets de la fonte des glaces</w:t>
            </w:r>
          </w:p>
          <w:p w:rsidR="00973B0C" w:rsidRPr="00973B0C" w:rsidRDefault="00D154E7" w:rsidP="00973B0C">
            <w:pPr>
              <w:pStyle w:val="zeta"/>
              <w:shd w:val="clear" w:color="auto" w:fill="FFFFFF"/>
              <w:spacing w:before="0" w:beforeAutospacing="0" w:after="0" w:afterAutospacing="0"/>
              <w:jc w:val="center"/>
            </w:pPr>
            <w:r w:rsidRPr="00973B0C">
              <w:rPr>
                <w:noProof/>
              </w:rPr>
              <w:drawing>
                <wp:inline distT="0" distB="0" distL="0" distR="0" wp14:anchorId="66244859" wp14:editId="18F8734C">
                  <wp:extent cx="5200322" cy="2968625"/>
                  <wp:effectExtent l="0" t="0" r="635" b="3175"/>
                  <wp:docPr id="3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7"/>
                          <a:stretch/>
                        </pic:blipFill>
                        <pic:spPr bwMode="auto">
                          <a:xfrm>
                            <a:off x="0" y="0"/>
                            <a:ext cx="5201617" cy="29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73B0C" w:rsidRPr="009808F2" w:rsidRDefault="00D154E7" w:rsidP="00973B0C">
            <w:pPr>
              <w:pStyle w:val="zeta"/>
              <w:shd w:val="clear" w:color="auto" w:fill="FFFFFF" w:themeFill="background1"/>
              <w:spacing w:before="0" w:after="0"/>
              <w:jc w:val="right"/>
              <w:rPr>
                <w:rFonts w:ascii="Arial" w:hAnsi="Arial" w:cs="Arial"/>
                <w:i/>
                <w:bdr w:val="none" w:sz="0" w:space="0" w:color="auto" w:frame="1"/>
                <w:shd w:val="clear" w:color="auto" w:fill="FFFFFF"/>
                <w:lang w:val="en-US"/>
              </w:rPr>
            </w:pPr>
            <w:r w:rsidRPr="009808F2">
              <w:rPr>
                <w:rFonts w:ascii="Arial" w:hAnsi="Arial" w:cs="Arial"/>
                <w:i/>
                <w:sz w:val="22"/>
              </w:rPr>
              <w:t>D’après https://www.fondation-lamap</w:t>
            </w:r>
          </w:p>
        </w:tc>
      </w:tr>
    </w:tbl>
    <w:p w:rsidR="0032726D" w:rsidRDefault="00D154E7">
      <w:pPr>
        <w:spacing w:after="0" w:line="240" w:lineRule="auto"/>
        <w:rPr>
          <w:rFonts w:eastAsia="Times New Roman" w:cs="Arial"/>
        </w:rPr>
      </w:pPr>
      <w:r>
        <w:rPr>
          <w:rFonts w:cs="Arial"/>
        </w:rPr>
        <w:br w:type="page"/>
      </w:r>
    </w:p>
    <w:p w:rsidR="00C64D11" w:rsidRDefault="00D154E7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D154E7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D154E7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483F6E" w:rsidRPr="00483F6E" w:rsidTr="00704578">
        <w:trPr>
          <w:trHeight w:val="8505"/>
          <w:jc w:val="center"/>
        </w:trPr>
        <w:tc>
          <w:tcPr>
            <w:tcW w:w="9065" w:type="dxa"/>
          </w:tcPr>
          <w:p w:rsidR="00483F6E" w:rsidRPr="00483F6E" w:rsidRDefault="00D154E7" w:rsidP="00904808">
            <w:pPr>
              <w:spacing w:before="120" w:after="120"/>
              <w:jc w:val="both"/>
              <w:rPr>
                <w:rFonts w:cs="Arial"/>
              </w:rPr>
            </w:pPr>
            <w:r w:rsidRPr="00483F6E">
              <w:rPr>
                <w:rFonts w:cs="Arial"/>
                <w:b/>
              </w:rPr>
              <w:t>Document 3</w:t>
            </w:r>
            <w:r w:rsidRPr="00904808">
              <w:rPr>
                <w:rFonts w:cs="Arial"/>
                <w:b/>
              </w:rPr>
              <w:t> :</w:t>
            </w:r>
            <w:r w:rsidRPr="00483F6E">
              <w:rPr>
                <w:rFonts w:cs="Arial"/>
              </w:rPr>
              <w:t xml:space="preserve"> Impact du phénomène de dilatation thermique de l’eau sur le niveau des océans </w:t>
            </w:r>
          </w:p>
          <w:p w:rsidR="00483F6E" w:rsidRPr="00483F6E" w:rsidRDefault="00D154E7" w:rsidP="00AB6AEB">
            <w:pPr>
              <w:spacing w:after="120" w:line="240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Au cours des deux derniers 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millions d’années, le niveau de la mer a varié de façon périodique au gré des alternances de périodes glaciaires et interglaciaires. Au cours des derniers milliers d’années, le niveau moyen s’est stabilisé et n’a varié que de 0,1 à 0,2 mm au maximum par an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. Au cours du XX</w:t>
            </w:r>
            <w:r w:rsidRPr="00483F6E">
              <w:rPr>
                <w:rFonts w:cs="Arial"/>
                <w:color w:val="000000"/>
                <w:shd w:val="clear" w:color="auto" w:fill="FFFFFF"/>
                <w:vertAlign w:val="superscript"/>
              </w:rPr>
              <w:t>ème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 siècle, une augmentation de ce niveau est clairement observée. Cette montée du niveau moyen est attribuée au réchauffement climatique qui touche la planète à travers deux processus principaux : la dilatation de l'eau de mer liée au réch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auffement des eaux océaniques, et la fonte des glaces terrestres. </w:t>
            </w:r>
          </w:p>
          <w:p w:rsidR="00483F6E" w:rsidRPr="00AB6AEB" w:rsidRDefault="00D154E7" w:rsidP="00AB6AEB">
            <w:pPr>
              <w:spacing w:before="120" w:after="240" w:line="240" w:lineRule="auto"/>
              <w:jc w:val="right"/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</w:pPr>
            <w:r w:rsidRPr="00AB6AEB"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  <w:t xml:space="preserve">D'après </w:t>
            </w:r>
            <w:hyperlink r:id="rId13" w:history="1">
              <w:r w:rsidRPr="00AB6AEB">
                <w:rPr>
                  <w:rStyle w:val="Lienhypertexte"/>
                  <w:rFonts w:cs="Arial"/>
                  <w:i/>
                  <w:iCs/>
                  <w:sz w:val="22"/>
                  <w:shd w:val="clear" w:color="auto" w:fill="FFFFFF"/>
                </w:rPr>
                <w:t>http://www.cnrs.fr/cw/dossiers/dospoles/alternative13.html</w:t>
              </w:r>
            </w:hyperlink>
          </w:p>
          <w:p w:rsidR="00483F6E" w:rsidRPr="00483F6E" w:rsidRDefault="00D154E7" w:rsidP="005D48E0">
            <w:pPr>
              <w:spacing w:after="12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</w:rPr>
              <w:t>Des calculs ont été réalisés afin d’estimer l’a</w:t>
            </w:r>
            <w:r w:rsidRPr="00483F6E">
              <w:rPr>
                <w:rFonts w:eastAsia="Times New Roman" w:cs="Arial"/>
              </w:rPr>
              <w:t>ugmentation du niveau des océans due au seul phénomène de dilatation de l’eau.</w:t>
            </w:r>
          </w:p>
          <w:p w:rsidR="00483F6E" w:rsidRPr="00483F6E" w:rsidRDefault="00D154E7" w:rsidP="005D48E0">
            <w:pPr>
              <w:spacing w:after="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9931C50" wp14:editId="5BB20B4B">
                      <wp:simplePos x="0" y="0"/>
                      <wp:positionH relativeFrom="margin">
                        <wp:posOffset>129540</wp:posOffset>
                      </wp:positionH>
                      <wp:positionV relativeFrom="paragraph">
                        <wp:posOffset>603885</wp:posOffset>
                      </wp:positionV>
                      <wp:extent cx="5353050" cy="733425"/>
                      <wp:effectExtent l="0" t="0" r="19050" b="28575"/>
                      <wp:wrapSquare wrapText="bothSides"/>
                      <wp:docPr id="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3050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3F6E" w:rsidRPr="005D48E0" w:rsidRDefault="00D154E7" w:rsidP="005D48E0">
                                  <w:pPr>
                                    <w:spacing w:after="120" w:line="240" w:lineRule="auto"/>
                                    <w:rPr>
                                      <w:rFonts w:eastAsia="Times New Roman" w:cs="Arial"/>
                                      <w:sz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∆V= α×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×∆T</m:t>
                                      </m:r>
                                    </m:oMath>
                                  </m:oMathPara>
                                </w:p>
                                <w:p w:rsidR="00483F6E" w:rsidRPr="00E85B54" w:rsidRDefault="00D154E7" w:rsidP="004C6181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eastAsia="Times New Roman" w:cs="Aria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</w:rPr>
                                    <w:t>a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vec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>T en °C,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V et V</w:t>
                                  </w:r>
                                  <w:r>
                                    <w:rPr>
                                      <w:rFonts w:eastAsia="Times New Roman" w:cs="Arial"/>
                                      <w:vertAlign w:val="subscript"/>
                                    </w:rPr>
                                    <w:t>0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n m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3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et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le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coefficient de dilatation thermique de la 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couche superficielle océanique tel que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= 2,6.10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-4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°C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-1</w:t>
                                  </w:r>
                                  <w:r w:rsidRPr="004C6181">
                                    <w:rPr>
                                      <w:rFonts w:eastAsia="Times New Roman" w:cs="Aria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931C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0.2pt;margin-top:47.55pt;width:421.5pt;height:5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">
                      <v:textbox>
                        <w:txbxContent>
                          <w:p w:rsidR="00483F6E" w:rsidRPr="005D48E0" w:rsidRDefault="005D48E0" w:rsidP="005D48E0">
                            <w:pPr>
                              <w:spacing w:after="120" w:line="240" w:lineRule="auto"/>
                              <w:rPr>
                                <w:rFonts w:eastAsia="Times New Roman" w:cs="Arial"/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∆V= α×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0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×∆T</m:t>
                                </m:r>
                              </m:oMath>
                            </m:oMathPara>
                          </w:p>
                          <w:p w:rsidR="00483F6E" w:rsidRPr="00E85B54" w:rsidRDefault="005D48E0" w:rsidP="004C618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Arial"/>
                              </w:rPr>
                            </w:pPr>
                            <w:proofErr w:type="gramStart"/>
                            <w:r>
                              <w:rPr>
                                <w:rFonts w:eastAsia="Times New Roman" w:cs="Arial"/>
                              </w:rPr>
                              <w:t>a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vec</w:t>
                            </w:r>
                            <w:proofErr w:type="gramEnd"/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T en °C,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 et V</w:t>
                            </w:r>
                            <w:r w:rsidR="004C6181">
                              <w:rPr>
                                <w:rFonts w:eastAsia="Times New Roman" w:cs="Arial"/>
                                <w:vertAlign w:val="subscript"/>
                              </w:rPr>
                              <w:t>0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n m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3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et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le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coefficient de dilatation thermique de la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couche superficielle océanique tel que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= 2,6.10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-4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°C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-1</w:t>
                            </w:r>
                            <w:r w:rsidR="004C6181" w:rsidRPr="004C6181">
                              <w:rPr>
                                <w:rFonts w:eastAsia="Times New Roman" w:cs="Arial"/>
                              </w:rPr>
                              <w:t>.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483F6E">
              <w:rPr>
                <w:rFonts w:eastAsia="Times New Roman" w:cs="Arial"/>
              </w:rPr>
              <w:t>Ainsi, si le volume V</w:t>
            </w:r>
            <w:r w:rsidRPr="00483F6E">
              <w:rPr>
                <w:rFonts w:eastAsia="Times New Roman" w:cs="Arial"/>
                <w:vertAlign w:val="subscript"/>
              </w:rPr>
              <w:t>0</w:t>
            </w:r>
            <w:r w:rsidRPr="00483F6E">
              <w:rPr>
                <w:rFonts w:eastAsia="Times New Roman" w:cs="Arial"/>
              </w:rPr>
              <w:t xml:space="preserve"> de l’océan subit une variation moyenne de température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T, on peut calculer la variation de son volume, notée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V, grâce au modèle mathématique suivant : </w:t>
            </w:r>
          </w:p>
          <w:p w:rsidR="00483F6E" w:rsidRPr="00483F6E" w:rsidRDefault="00D154E7" w:rsidP="00704578">
            <w:pPr>
              <w:spacing w:before="120" w:after="120"/>
              <w:jc w:val="both"/>
              <w:rPr>
                <w:rFonts w:cs="Arial"/>
                <w:u w:val="single"/>
              </w:rPr>
            </w:pPr>
            <w:r w:rsidRPr="00483F6E">
              <w:rPr>
                <w:rFonts w:cs="Arial"/>
                <w:u w:val="single"/>
              </w:rPr>
              <w:t xml:space="preserve">Données et hypothèses de travail : </w:t>
            </w:r>
          </w:p>
          <w:p w:rsidR="00483F6E" w:rsidRPr="00483F6E" w:rsidRDefault="00D154E7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>- L’ensemble des océans du globe a une surface estimée à 3,6 × 10</w:t>
            </w:r>
            <w:r w:rsidRPr="00483F6E">
              <w:rPr>
                <w:rFonts w:cs="Arial"/>
                <w:vertAlign w:val="superscript"/>
              </w:rPr>
              <w:t>8</w:t>
            </w:r>
            <w:r>
              <w:rPr>
                <w:rFonts w:cs="Arial"/>
              </w:rPr>
              <w:t xml:space="preserve"> km².</w:t>
            </w:r>
          </w:p>
          <w:p w:rsidR="00483F6E" w:rsidRPr="00483F6E" w:rsidRDefault="00D154E7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>- Dans les scénarios les plus pessimistes, on pose l’hypothèse d’une augmentation de 3°C de l’atmosphère qui pourrait se répercuter sur l’océan. Dans cette hypothèse, on peut estimer que l’augmentation moyenne de température sur les 1000 premiers mèt</w:t>
            </w:r>
            <w:r w:rsidRPr="00483F6E">
              <w:rPr>
                <w:rFonts w:cs="Arial"/>
              </w:rPr>
              <w:t>res de profondeur est de 1,5°C.</w:t>
            </w:r>
          </w:p>
        </w:tc>
      </w:tr>
    </w:tbl>
    <w:p w:rsidR="00E43161" w:rsidRDefault="00D154E7" w:rsidP="198D8AD9">
      <w:pPr>
        <w:ind w:left="709"/>
        <w:jc w:val="both"/>
        <w:rPr>
          <w:rFonts w:cs="Arial"/>
          <w:b/>
          <w:bCs/>
        </w:rPr>
      </w:pPr>
    </w:p>
    <w:p w:rsidR="00E43161" w:rsidRDefault="00D154E7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E43161" w:rsidRDefault="00D154E7" w:rsidP="198D8AD9">
      <w:pPr>
        <w:ind w:left="709"/>
        <w:jc w:val="both"/>
        <w:rPr>
          <w:rFonts w:cs="Arial"/>
          <w:b/>
          <w:bCs/>
        </w:rPr>
      </w:pPr>
    </w:p>
    <w:p w:rsidR="00E43161" w:rsidRDefault="00D154E7" w:rsidP="198D8AD9">
      <w:pPr>
        <w:ind w:left="709"/>
        <w:jc w:val="both"/>
        <w:rPr>
          <w:rFonts w:cs="Arial"/>
          <w:b/>
          <w:bCs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32726D" w:rsidRPr="0032726D" w:rsidTr="0032726D">
        <w:trPr>
          <w:trHeight w:val="6981"/>
          <w:jc w:val="center"/>
        </w:trPr>
        <w:tc>
          <w:tcPr>
            <w:tcW w:w="9065" w:type="dxa"/>
          </w:tcPr>
          <w:p w:rsidR="0032726D" w:rsidRPr="0032726D" w:rsidRDefault="00D154E7" w:rsidP="0032726D">
            <w:pPr>
              <w:spacing w:before="120" w:after="120"/>
              <w:jc w:val="both"/>
              <w:rPr>
                <w:rFonts w:cs="Arial"/>
              </w:rPr>
            </w:pPr>
            <w:r w:rsidRPr="0032726D">
              <w:rPr>
                <w:rFonts w:cs="Arial"/>
                <w:b/>
                <w:bCs/>
              </w:rPr>
              <w:t>Document 4</w:t>
            </w:r>
            <w:r w:rsidRPr="0032726D">
              <w:rPr>
                <w:rFonts w:cs="Arial"/>
              </w:rPr>
              <w:t xml:space="preserve"> : schématisation de la thermocline</w:t>
            </w:r>
          </w:p>
          <w:p w:rsidR="0032726D" w:rsidRPr="0032726D" w:rsidRDefault="00D154E7" w:rsidP="004D5678">
            <w:pPr>
              <w:jc w:val="both"/>
              <w:rPr>
                <w:rFonts w:eastAsia="Arial" w:cs="Arial"/>
                <w:color w:val="222222"/>
              </w:rPr>
            </w:pP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La </w:t>
            </w:r>
            <w:r w:rsidRPr="0032726D">
              <w:rPr>
                <w:rFonts w:eastAsia="Arial" w:cs="Arial"/>
                <w:b/>
                <w:bCs/>
                <w:color w:val="222222"/>
                <w:sz w:val="25"/>
                <w:szCs w:val="25"/>
              </w:rPr>
              <w:t>thermocline</w:t>
            </w: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 est une couche de transition thermique rapide entre les eaux superficielles (epipelagic zone) et les eaux profondes (deep water).</w:t>
            </w:r>
          </w:p>
          <w:p w:rsidR="0032726D" w:rsidRPr="0032726D" w:rsidRDefault="00D154E7" w:rsidP="0032726D">
            <w:pPr>
              <w:pStyle w:val="zeta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32726D">
              <w:rPr>
                <w:noProof/>
              </w:rPr>
              <w:drawing>
                <wp:inline distT="0" distB="0" distL="0" distR="0" wp14:anchorId="24BC809C" wp14:editId="6E9E9CB0">
                  <wp:extent cx="3838409" cy="3648075"/>
                  <wp:effectExtent l="0" t="0" r="0" b="0"/>
                  <wp:docPr id="5" name="Image 12" descr="What is a Thermoclin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What is a Thermocline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grayscl/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59"/>
                          <a:stretch/>
                        </pic:blipFill>
                        <pic:spPr bwMode="auto">
                          <a:xfrm>
                            <a:off x="0" y="0"/>
                            <a:ext cx="3842446" cy="3651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2726D" w:rsidRPr="00C55054" w:rsidRDefault="00D154E7" w:rsidP="00E43161">
            <w:pPr>
              <w:pStyle w:val="zeta"/>
              <w:shd w:val="clear" w:color="auto" w:fill="FFFFFF" w:themeFill="background1"/>
              <w:spacing w:before="240" w:beforeAutospacing="0" w:after="120" w:afterAutospacing="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C55054">
              <w:rPr>
                <w:rFonts w:ascii="Arial" w:hAnsi="Arial" w:cs="Arial"/>
                <w:i/>
                <w:sz w:val="22"/>
                <w:szCs w:val="22"/>
              </w:rPr>
              <w:t xml:space="preserve">D’après </w:t>
            </w:r>
            <w:hyperlink r:id="rId15" w:history="1">
              <w:r w:rsidRPr="00C55054">
                <w:rPr>
                  <w:rStyle w:val="Lienhypertexte"/>
                  <w:rFonts w:ascii="Arial" w:hAnsi="Arial" w:cs="Arial"/>
                  <w:i/>
                  <w:iCs/>
                  <w:color w:val="auto"/>
                  <w:sz w:val="22"/>
                  <w:szCs w:val="22"/>
                </w:rPr>
                <w:t>https://addhelium.com/wp-content/uploads/2020/11/original_1647485839.jpg</w:t>
              </w:r>
            </w:hyperlink>
            <w:r w:rsidRPr="00C5505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:rsidR="00C64D11" w:rsidRPr="002C501F" w:rsidRDefault="00D154E7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320A1" w:rsidRPr="00204949" w:rsidRDefault="00D154E7" w:rsidP="00C64D11">
      <w:pPr>
        <w:jc w:val="center"/>
      </w:pPr>
      <w:r>
        <w:br w:type="page"/>
      </w:r>
    </w:p>
    <w:p w:rsidR="00BF163E" w:rsidRPr="00A77456" w:rsidRDefault="00D154E7" w:rsidP="00BF163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F163E" w:rsidRPr="00A77456" w:rsidRDefault="00D154E7" w:rsidP="00BF163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BF163E" w:rsidRPr="00D87AD1" w:rsidRDefault="00D154E7" w:rsidP="00BF163E">
      <w:pPr>
        <w:spacing w:after="120"/>
        <w:rPr>
          <w:b/>
          <w:sz w:val="22"/>
        </w:rPr>
      </w:pPr>
      <w:r>
        <w:rPr>
          <w:b/>
          <w:sz w:val="28"/>
        </w:rPr>
        <w:t xml:space="preserve">Population de la France </w:t>
      </w:r>
      <w:r>
        <w:rPr>
          <w:b/>
          <w:sz w:val="28"/>
        </w:rPr>
        <w:t>métropolitaine de 1946 à 2050</w:t>
      </w:r>
    </w:p>
    <w:p w:rsidR="00BF163E" w:rsidRPr="000E2C8B" w:rsidRDefault="00D154E7" w:rsidP="00BF163E">
      <w:pPr>
        <w:spacing w:after="0"/>
        <w:rPr>
          <w:i/>
        </w:rPr>
      </w:pPr>
      <w:r w:rsidRPr="00D74F67">
        <w:rPr>
          <w:i/>
        </w:rPr>
        <w:t>Sur 10 points</w:t>
      </w:r>
    </w:p>
    <w:p w:rsidR="00BF163E" w:rsidRPr="009825E2" w:rsidRDefault="00D154E7" w:rsidP="00BF163E">
      <w:pPr>
        <w:shd w:val="clear" w:color="auto" w:fill="FFFFFF"/>
        <w:spacing w:after="0" w:line="276" w:lineRule="auto"/>
        <w:rPr>
          <w:rFonts w:eastAsia="Arial" w:cs="Arial"/>
        </w:rPr>
      </w:pPr>
    </w:p>
    <w:p w:rsidR="00BA1E86" w:rsidRDefault="00D154E7" w:rsidP="00A057B2">
      <w:pPr>
        <w:jc w:val="both"/>
      </w:pPr>
      <w:r>
        <w:t>Le tableau ci-dessous donne l’évolution de la population en France métropolitaine de 1946 à 2013.</w:t>
      </w:r>
      <w:r>
        <w:t xml:space="preserve"> 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6"/>
        <w:gridCol w:w="707"/>
        <w:gridCol w:w="774"/>
        <w:gridCol w:w="749"/>
        <w:gridCol w:w="749"/>
        <w:gridCol w:w="749"/>
        <w:gridCol w:w="749"/>
        <w:gridCol w:w="749"/>
        <w:gridCol w:w="749"/>
        <w:gridCol w:w="749"/>
        <w:gridCol w:w="749"/>
      </w:tblGrid>
      <w:tr w:rsidR="00BA1E86" w:rsidTr="00A057B2">
        <w:trPr>
          <w:jc w:val="center"/>
        </w:trPr>
        <w:tc>
          <w:tcPr>
            <w:tcW w:w="1566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Année</w:t>
            </w:r>
          </w:p>
        </w:tc>
        <w:tc>
          <w:tcPr>
            <w:tcW w:w="707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1946</w:t>
            </w:r>
          </w:p>
        </w:tc>
        <w:tc>
          <w:tcPr>
            <w:tcW w:w="774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1954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1962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1968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1975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1982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1990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1999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2006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2013</w:t>
            </w:r>
          </w:p>
        </w:tc>
      </w:tr>
      <w:tr w:rsidR="00BA1E86" w:rsidTr="00A057B2">
        <w:trPr>
          <w:trHeight w:val="140"/>
          <w:jc w:val="center"/>
        </w:trPr>
        <w:tc>
          <w:tcPr>
            <w:tcW w:w="1566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Rang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x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707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0</w:t>
            </w:r>
          </w:p>
        </w:tc>
        <w:tc>
          <w:tcPr>
            <w:tcW w:w="774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8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16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22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29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36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44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53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60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67</w:t>
            </w:r>
          </w:p>
        </w:tc>
      </w:tr>
      <w:tr w:rsidR="00BA1E86" w:rsidTr="00A057B2">
        <w:trPr>
          <w:jc w:val="center"/>
        </w:trPr>
        <w:tc>
          <w:tcPr>
            <w:tcW w:w="1566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Population en millions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y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707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40,5</w:t>
            </w:r>
          </w:p>
        </w:tc>
        <w:tc>
          <w:tcPr>
            <w:tcW w:w="774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42,8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46,5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49,8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52,7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54,3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56 ,6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58,2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61,4</w:t>
            </w:r>
          </w:p>
        </w:tc>
        <w:tc>
          <w:tcPr>
            <w:tcW w:w="749" w:type="dxa"/>
            <w:vAlign w:val="center"/>
          </w:tcPr>
          <w:p w:rsidR="00BA1E86" w:rsidRPr="00CF5D8A" w:rsidRDefault="00D154E7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63,7</w:t>
            </w:r>
          </w:p>
        </w:tc>
      </w:tr>
    </w:tbl>
    <w:p w:rsidR="00BA1E86" w:rsidRPr="00E76158" w:rsidRDefault="00D154E7" w:rsidP="00E76158">
      <w:pPr>
        <w:spacing w:before="120" w:after="240"/>
        <w:jc w:val="right"/>
        <w:rPr>
          <w:i/>
          <w:sz w:val="22"/>
        </w:rPr>
      </w:pPr>
      <w:r w:rsidRPr="00E76158">
        <w:rPr>
          <w:i/>
          <w:sz w:val="22"/>
        </w:rPr>
        <w:t>Source INED</w:t>
      </w:r>
      <w:r>
        <w:rPr>
          <w:i/>
          <w:sz w:val="22"/>
        </w:rPr>
        <w:t>,</w:t>
      </w:r>
      <w:r w:rsidRPr="00E76158">
        <w:rPr>
          <w:i/>
          <w:sz w:val="22"/>
        </w:rPr>
        <w:t xml:space="preserve"> ined.fr</w:t>
      </w:r>
    </w:p>
    <w:p w:rsidR="00BA1E86" w:rsidRDefault="00D154E7" w:rsidP="00A057B2">
      <w:pPr>
        <w:spacing w:after="120"/>
        <w:jc w:val="both"/>
      </w:pPr>
      <w:r>
        <w:t>Afin de faire des prévisions, cette évolution est représentée par un nuage de points dans le but d’en faire un ajustement affine.</w:t>
      </w:r>
    </w:p>
    <w:p w:rsidR="00BA1E86" w:rsidRDefault="00D154E7" w:rsidP="00A057B2">
      <w:pPr>
        <w:spacing w:after="240"/>
        <w:jc w:val="both"/>
      </w:pPr>
      <w:r>
        <w:t xml:space="preserve">Une équation de la droite d’ajustement du nuage est : </w:t>
      </w:r>
      <w:r>
        <w:rPr>
          <w:i/>
        </w:rPr>
        <w:t>y</w:t>
      </w:r>
      <w:r>
        <w:t xml:space="preserve"> = 0,341</w:t>
      </w:r>
      <w:r>
        <w:rPr>
          <w:i/>
        </w:rPr>
        <w:t>x</w:t>
      </w:r>
      <w:r>
        <w:t xml:space="preserve"> + 41,21.</w:t>
      </w:r>
    </w:p>
    <w:p w:rsidR="00BA1E86" w:rsidRDefault="00D154E7" w:rsidP="00594381">
      <w:pPr>
        <w:spacing w:after="240"/>
        <w:jc w:val="both"/>
      </w:pPr>
      <w:r w:rsidRPr="00CF5D8A">
        <w:rPr>
          <w:b/>
          <w:bCs/>
        </w:rPr>
        <w:t>1-</w:t>
      </w:r>
      <w:r>
        <w:t xml:space="preserve"> Parmi les trois graphiques ci-dessous, quel est selon vous celui qui correspond à la droite d’ajustement trouvée ? Justifier. </w:t>
      </w:r>
    </w:p>
    <w:tbl>
      <w:tblPr>
        <w:tblStyle w:val="Grilledutableau"/>
        <w:tblW w:w="5018" w:type="pct"/>
        <w:tblLayout w:type="fixed"/>
        <w:tblLook w:val="04A0" w:firstRow="1" w:lastRow="0" w:firstColumn="1" w:lastColumn="0" w:noHBand="0" w:noVBand="1"/>
      </w:tblPr>
      <w:tblGrid>
        <w:gridCol w:w="3009"/>
        <w:gridCol w:w="3042"/>
        <w:gridCol w:w="3042"/>
      </w:tblGrid>
      <w:tr w:rsidR="00BA1E86">
        <w:tc>
          <w:tcPr>
            <w:tcW w:w="3083" w:type="dxa"/>
          </w:tcPr>
          <w:p w:rsidR="00BA1E86" w:rsidRDefault="00D154E7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74D6955" wp14:editId="674D6956">
                  <wp:extent cx="1799295" cy="1199476"/>
                  <wp:effectExtent l="6350" t="6350" r="6350" b="6350"/>
                  <wp:docPr id="6" name="Image 12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813" t="33500" r="54967" b="23971"/>
                          <a:stretch/>
                        </pic:blipFill>
                        <pic:spPr bwMode="auto">
                          <a:xfrm>
                            <a:off x="0" y="0"/>
                            <a:ext cx="1799294" cy="1199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BA1E86" w:rsidRDefault="00D154E7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8240" behindDoc="1" locked="0" layoutInCell="1" allowOverlap="1" wp14:anchorId="674D6957" wp14:editId="674D6958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22225</wp:posOffset>
                  </wp:positionV>
                  <wp:extent cx="1864352" cy="1181348"/>
                  <wp:effectExtent l="6350" t="6350" r="6350" b="6350"/>
                  <wp:wrapTight wrapText="bothSides">
                    <wp:wrapPolygon edited="1">
                      <wp:start x="1029" y="0"/>
                      <wp:lineTo x="0" y="1623"/>
                      <wp:lineTo x="0" y="9090"/>
                      <wp:lineTo x="206" y="10389"/>
                      <wp:lineTo x="1029" y="10389"/>
                      <wp:lineTo x="0" y="12661"/>
                      <wp:lineTo x="0" y="13311"/>
                      <wp:lineTo x="1029" y="15582"/>
                      <wp:lineTo x="0" y="15908"/>
                      <wp:lineTo x="0" y="20778"/>
                      <wp:lineTo x="206" y="21102"/>
                      <wp:lineTo x="0" y="21427"/>
                      <wp:lineTo x="20777" y="21427"/>
                      <wp:lineTo x="21394" y="20778"/>
                      <wp:lineTo x="21394" y="17531"/>
                      <wp:lineTo x="2263" y="15582"/>
                      <wp:lineTo x="10903" y="10389"/>
                      <wp:lineTo x="14400" y="10389"/>
                      <wp:lineTo x="21189" y="6817"/>
                      <wp:lineTo x="21394" y="4545"/>
                      <wp:lineTo x="21394" y="649"/>
                      <wp:lineTo x="2057" y="0"/>
                      <wp:lineTo x="1029" y="0"/>
                    </wp:wrapPolygon>
                  </wp:wrapTight>
                  <wp:docPr id="7" name="Image 10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555" t="33639" r="54258" b="25000"/>
                          <a:stretch/>
                        </pic:blipFill>
                        <pic:spPr bwMode="auto">
                          <a:xfrm>
                            <a:off x="0" y="0"/>
                            <a:ext cx="1864351" cy="1181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</w:tcPr>
          <w:p w:rsidR="00BA1E86" w:rsidRDefault="00D154E7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74D6959" wp14:editId="674D695A">
                  <wp:extent cx="1833868" cy="1184523"/>
                  <wp:effectExtent l="6350" t="6350" r="6350" b="6350"/>
                  <wp:docPr id="8" name="Image 11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319" t="34000" r="55132" b="24471"/>
                          <a:stretch/>
                        </pic:blipFill>
                        <pic:spPr bwMode="auto">
                          <a:xfrm>
                            <a:off x="0" y="0"/>
                            <a:ext cx="1833868" cy="118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1E86" w:rsidTr="00DB60F6">
        <w:tc>
          <w:tcPr>
            <w:tcW w:w="3083" w:type="dxa"/>
            <w:vAlign w:val="center"/>
          </w:tcPr>
          <w:p w:rsidR="00BA1E86" w:rsidRDefault="00D154E7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1</w:t>
            </w:r>
          </w:p>
        </w:tc>
        <w:tc>
          <w:tcPr>
            <w:tcW w:w="3118" w:type="dxa"/>
            <w:vAlign w:val="center"/>
          </w:tcPr>
          <w:p w:rsidR="00BA1E86" w:rsidRDefault="00D154E7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2</w:t>
            </w:r>
          </w:p>
        </w:tc>
        <w:tc>
          <w:tcPr>
            <w:tcW w:w="3118" w:type="dxa"/>
            <w:vAlign w:val="center"/>
          </w:tcPr>
          <w:p w:rsidR="00BA1E86" w:rsidRDefault="00D154E7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3</w:t>
            </w:r>
          </w:p>
        </w:tc>
      </w:tr>
    </w:tbl>
    <w:p w:rsidR="00BA1E86" w:rsidRDefault="00D154E7" w:rsidP="00A057B2">
      <w:pPr>
        <w:spacing w:after="0"/>
        <w:jc w:val="both"/>
      </w:pPr>
    </w:p>
    <w:p w:rsidR="00BA1E86" w:rsidRDefault="00D154E7" w:rsidP="00594381">
      <w:pPr>
        <w:spacing w:before="240" w:after="0"/>
        <w:jc w:val="both"/>
      </w:pPr>
      <w:r w:rsidRPr="00CF5D8A">
        <w:rPr>
          <w:b/>
          <w:bCs/>
        </w:rPr>
        <w:t>2-</w:t>
      </w:r>
      <w:r>
        <w:t xml:space="preserve"> Après avoir déterminé le rang correspondant à l’année 2020, montrer, à l’aide de l’équation de la droite, que le modèle prévoit une population française de 66,4 millions d’habitants à cette date. </w:t>
      </w:r>
    </w:p>
    <w:p w:rsidR="00BA1E86" w:rsidRDefault="00D154E7" w:rsidP="00A057B2">
      <w:pPr>
        <w:spacing w:after="0"/>
        <w:jc w:val="both"/>
      </w:pPr>
    </w:p>
    <w:p w:rsidR="00594381" w:rsidRDefault="00D154E7">
      <w:pPr>
        <w:spacing w:after="0" w:line="240" w:lineRule="auto"/>
      </w:pPr>
      <w:r>
        <w:br w:type="page"/>
      </w:r>
    </w:p>
    <w:p w:rsidR="00BA1E86" w:rsidRDefault="00D154E7" w:rsidP="00594381">
      <w:pPr>
        <w:spacing w:after="0"/>
        <w:jc w:val="both"/>
      </w:pPr>
      <w:r>
        <w:lastRenderedPageBreak/>
        <w:t>Le recensement effectué au cours de l’année 2020 montre</w:t>
      </w:r>
      <w:r>
        <w:t xml:space="preserve"> que la population en France métropolitaine est de 64,9 millions d’habitants. </w:t>
      </w:r>
    </w:p>
    <w:p w:rsidR="00BA1E86" w:rsidRDefault="00D154E7" w:rsidP="00594381">
      <w:pPr>
        <w:spacing w:after="0"/>
        <w:jc w:val="both"/>
      </w:pPr>
    </w:p>
    <w:p w:rsidR="00BA1E86" w:rsidRDefault="00D154E7" w:rsidP="00D0612D">
      <w:pPr>
        <w:spacing w:after="240"/>
        <w:jc w:val="both"/>
      </w:pPr>
      <w:r w:rsidRPr="00CF5D8A">
        <w:rPr>
          <w:b/>
          <w:bCs/>
        </w:rPr>
        <w:t>3-</w:t>
      </w:r>
      <w:r>
        <w:t xml:space="preserve"> Au-delà d’un écart supérieur à un million, ce modèle n’est pas valide. Conclure sur la validité du modèle en 2020. Justifier la réponse.</w:t>
      </w:r>
    </w:p>
    <w:p w:rsidR="00BA1E86" w:rsidRDefault="00D154E7" w:rsidP="00594381">
      <w:pPr>
        <w:spacing w:after="0"/>
        <w:jc w:val="both"/>
      </w:pPr>
      <w:r>
        <w:t>Afin d’affiner les prévisions, il es</w:t>
      </w:r>
      <w:r>
        <w:t>t envisagé de modifier le modèle précédent. Les relevés annuels de la population en France Métropolitaine de 2013 à 2020 sont donnés ci-dessous :</w:t>
      </w:r>
    </w:p>
    <w:p w:rsidR="00BA1E86" w:rsidRDefault="00D154E7" w:rsidP="00594381">
      <w:pPr>
        <w:spacing w:after="0"/>
        <w:ind w:left="1173"/>
        <w:jc w:val="both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54"/>
        <w:gridCol w:w="706"/>
        <w:gridCol w:w="706"/>
        <w:gridCol w:w="706"/>
        <w:gridCol w:w="706"/>
        <w:gridCol w:w="706"/>
        <w:gridCol w:w="706"/>
        <w:gridCol w:w="706"/>
        <w:gridCol w:w="706"/>
      </w:tblGrid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Année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2013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2014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2015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2016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2017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2018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2019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2020</w:t>
            </w:r>
          </w:p>
        </w:tc>
      </w:tr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Rang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x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7</w:t>
            </w:r>
          </w:p>
        </w:tc>
      </w:tr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Population en millions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y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63,7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64,3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64,5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64,6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64,7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64,8</w:t>
            </w:r>
          </w:p>
        </w:tc>
        <w:tc>
          <w:tcPr>
            <w:tcW w:w="0" w:type="auto"/>
            <w:vAlign w:val="center"/>
          </w:tcPr>
          <w:p w:rsidR="00BA1E86" w:rsidRPr="00CF5D8A" w:rsidRDefault="00D154E7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64,9</w:t>
            </w:r>
          </w:p>
        </w:tc>
      </w:tr>
    </w:tbl>
    <w:p w:rsidR="00BA1E86" w:rsidRPr="00D0612D" w:rsidRDefault="00D154E7" w:rsidP="00D0612D">
      <w:pPr>
        <w:spacing w:before="120" w:after="240"/>
        <w:ind w:left="1134" w:firstLine="1"/>
        <w:jc w:val="right"/>
        <w:rPr>
          <w:sz w:val="22"/>
        </w:rPr>
      </w:pPr>
      <w:r>
        <w:rPr>
          <w:i/>
          <w:sz w:val="22"/>
        </w:rPr>
        <w:t>S</w:t>
      </w:r>
      <w:r w:rsidRPr="00D0612D">
        <w:rPr>
          <w:i/>
          <w:sz w:val="22"/>
        </w:rPr>
        <w:t>ource INED</w:t>
      </w:r>
      <w:r>
        <w:rPr>
          <w:i/>
          <w:sz w:val="22"/>
        </w:rPr>
        <w:t>,</w:t>
      </w:r>
      <w:r w:rsidRPr="00D0612D">
        <w:rPr>
          <w:i/>
          <w:sz w:val="22"/>
        </w:rPr>
        <w:t xml:space="preserve"> ined.fr</w:t>
      </w:r>
    </w:p>
    <w:p w:rsidR="00BA1E86" w:rsidRDefault="00D154E7" w:rsidP="00763F9C">
      <w:pPr>
        <w:spacing w:after="120"/>
        <w:jc w:val="both"/>
      </w:pPr>
      <w:r>
        <w:t xml:space="preserve">Une droite d’équation </w:t>
      </w:r>
      <w:r>
        <w:rPr>
          <w:i/>
        </w:rPr>
        <w:t>y</w:t>
      </w:r>
      <w:r>
        <w:t xml:space="preserve"> = 0,163</w:t>
      </w:r>
      <w:r>
        <w:rPr>
          <w:i/>
        </w:rPr>
        <w:t>x</w:t>
      </w:r>
      <w:r>
        <w:t xml:space="preserve"> + 63,87 correspond au nouveau modèle choisi pour les 30 années à venir.</w:t>
      </w:r>
    </w:p>
    <w:p w:rsidR="00BA1E86" w:rsidRDefault="00D154E7" w:rsidP="00594381">
      <w:pPr>
        <w:spacing w:after="0"/>
        <w:jc w:val="both"/>
      </w:pPr>
      <w:r>
        <w:t xml:space="preserve">Nous souhaitons savoir à partir de quelle année la population en France métropolitaine dépassera, </w:t>
      </w:r>
      <w:r>
        <w:t>d’après le nouveau modèle, les 65,5 millions d’habitants.</w:t>
      </w:r>
    </w:p>
    <w:p w:rsidR="00BA1E86" w:rsidRDefault="00D154E7" w:rsidP="00594381">
      <w:pPr>
        <w:spacing w:after="0"/>
        <w:ind w:left="992"/>
        <w:jc w:val="both"/>
      </w:pPr>
      <w:r>
        <w:t xml:space="preserve">     </w:t>
      </w:r>
    </w:p>
    <w:tbl>
      <w:tblPr>
        <w:tblStyle w:val="Grilledutableau"/>
        <w:tblW w:w="0" w:type="auto"/>
        <w:tblInd w:w="-5" w:type="dxa"/>
        <w:tblCellMar>
          <w:left w:w="0" w:type="dxa"/>
          <w:right w:w="142" w:type="dxa"/>
        </w:tblCellMar>
        <w:tblLook w:val="04A0" w:firstRow="1" w:lastRow="0" w:firstColumn="1" w:lastColumn="0" w:noHBand="0" w:noVBand="1"/>
      </w:tblPr>
      <w:tblGrid>
        <w:gridCol w:w="5103"/>
        <w:gridCol w:w="3962"/>
      </w:tblGrid>
      <w:tr w:rsidR="00BA1E86" w:rsidTr="00341DD3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BA1E86" w:rsidRDefault="00D154E7" w:rsidP="00594381">
            <w:pPr>
              <w:spacing w:after="0"/>
              <w:jc w:val="both"/>
            </w:pPr>
            <w:r>
              <w:t>Afin d’automatiser les calculs, nous avons programmé la fonction seuil_pop en langage Python ci-contre.</w:t>
            </w:r>
          </w:p>
          <w:p w:rsidR="00BA1E86" w:rsidRDefault="00D154E7" w:rsidP="00594381">
            <w:pPr>
              <w:spacing w:after="0"/>
              <w:jc w:val="both"/>
            </w:pPr>
          </w:p>
        </w:tc>
        <w:tc>
          <w:tcPr>
            <w:tcW w:w="3962" w:type="dxa"/>
          </w:tcPr>
          <w:p w:rsidR="00BA1E86" w:rsidRDefault="00D154E7" w:rsidP="00341DD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74D695B" wp14:editId="674D695C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731520</wp:posOffset>
                      </wp:positionV>
                      <wp:extent cx="914400" cy="133350"/>
                      <wp:effectExtent l="0" t="0" r="19050" b="19050"/>
                      <wp:wrapNone/>
                      <wp:docPr id="9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14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D59EE5" id="Rectangle 7" o:spid="_x0000_s1026" style="position:absolute;margin-left:88.45pt;margin-top:57.6pt;width:1in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" fillcolor="white [3212]" strokecolor="black [3213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74D695D" wp14:editId="674D695E">
                  <wp:extent cx="2181225" cy="1066800"/>
                  <wp:effectExtent l="0" t="0" r="9525" b="0"/>
                  <wp:docPr id="1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21812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1E86" w:rsidRDefault="00D154E7" w:rsidP="00594381">
      <w:pPr>
        <w:spacing w:after="0"/>
        <w:jc w:val="both"/>
      </w:pPr>
      <w:r>
        <w:t xml:space="preserve">  </w:t>
      </w:r>
    </w:p>
    <w:p w:rsidR="00BA1E86" w:rsidRDefault="00D154E7" w:rsidP="00D12B44">
      <w:pPr>
        <w:spacing w:after="120"/>
        <w:jc w:val="both"/>
      </w:pPr>
      <w:r w:rsidRPr="00CF5D8A">
        <w:rPr>
          <w:b/>
          <w:bCs/>
        </w:rPr>
        <w:t>4-</w:t>
      </w:r>
      <w:r>
        <w:t xml:space="preserve"> Recopier parmi les quatre propositions suivantes celle qui correspond à la do</w:t>
      </w:r>
      <w:r>
        <w:t>nnée manquante du programme :</w:t>
      </w:r>
    </w:p>
    <w:p w:rsidR="00BA1E86" w:rsidRDefault="00D154E7" w:rsidP="00D12B44">
      <w:pPr>
        <w:spacing w:after="120"/>
        <w:jc w:val="both"/>
      </w:pPr>
      <w:r>
        <w:tab/>
        <w:t>Proposition a : pop = 0.163*n+0</w:t>
      </w:r>
    </w:p>
    <w:p w:rsidR="00BA1E86" w:rsidRDefault="00D154E7" w:rsidP="00D12B44">
      <w:pPr>
        <w:spacing w:after="120"/>
        <w:jc w:val="both"/>
      </w:pPr>
      <w:r>
        <w:tab/>
        <w:t>Proposition b : pop = 0.163*n+63.87</w:t>
      </w:r>
    </w:p>
    <w:p w:rsidR="00BA1E86" w:rsidRDefault="00D154E7" w:rsidP="00D12B44">
      <w:pPr>
        <w:spacing w:after="120"/>
        <w:jc w:val="both"/>
      </w:pPr>
      <w:r>
        <w:tab/>
        <w:t>Proposition c : pop = pop+1</w:t>
      </w:r>
    </w:p>
    <w:p w:rsidR="00BA1E86" w:rsidRDefault="00D154E7" w:rsidP="00594381">
      <w:pPr>
        <w:spacing w:after="0"/>
        <w:jc w:val="both"/>
      </w:pPr>
      <w:r>
        <w:tab/>
        <w:t>Proposition d : pop = 0.163*pop+63.87</w:t>
      </w:r>
    </w:p>
    <w:p w:rsidR="00CF5D8A" w:rsidRDefault="00D154E7" w:rsidP="00594381">
      <w:pPr>
        <w:spacing w:after="0"/>
        <w:jc w:val="both"/>
        <w:rPr>
          <w:b/>
          <w:bCs/>
        </w:rPr>
      </w:pPr>
    </w:p>
    <w:p w:rsidR="00BA1E86" w:rsidRDefault="00D154E7" w:rsidP="00C157B5">
      <w:pPr>
        <w:spacing w:after="0"/>
        <w:jc w:val="both"/>
      </w:pPr>
      <w:r w:rsidRPr="00CF5D8A">
        <w:rPr>
          <w:b/>
          <w:bCs/>
        </w:rPr>
        <w:t>5-</w:t>
      </w:r>
      <w:r>
        <w:t xml:space="preserve"> </w:t>
      </w:r>
      <w:r>
        <w:rPr>
          <w:rFonts w:cs="Arial"/>
        </w:rPr>
        <w:t>À</w:t>
      </w:r>
      <w:r>
        <w:t xml:space="preserve"> partir de quelle année la population en France métropolitaine dépassera-t-elle les</w:t>
      </w:r>
      <w:r>
        <w:t xml:space="preserve"> 65,5 millions d’habitants ?</w:t>
      </w:r>
    </w:p>
    <w:sectPr w:rsidR="00BA1E86" w:rsidSect="00E61EB3">
      <w:headerReference w:type="even" r:id="rId20"/>
      <w:headerReference w:type="default" r:id="rId21"/>
      <w:footerReference w:type="even" r:id="rId22"/>
      <w:footerReference w:type="default" r:id="rId23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2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54E7" w:rsidRPr="00D154E7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54E7" w:rsidRPr="00D154E7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54E7" w:rsidRPr="00D154E7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154E7" w:rsidRPr="00D154E7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4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3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4E7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zeta">
    <w:name w:val="zeta"/>
    <w:basedOn w:val="Normal"/>
    <w:rsid w:val="00C64D11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Accentuation">
    <w:name w:val="Emphasis"/>
    <w:basedOn w:val="Policepardfaut"/>
    <w:uiPriority w:val="20"/>
    <w:qFormat/>
    <w:rsid w:val="00C64D11"/>
    <w:rPr>
      <w:i/>
      <w:iCs/>
    </w:rPr>
  </w:style>
  <w:style w:type="character" w:styleId="Lienhypertexte">
    <w:name w:val="Hyperlink"/>
    <w:basedOn w:val="Policepardfaut"/>
    <w:uiPriority w:val="99"/>
    <w:unhideWhenUsed/>
    <w:rsid w:val="00645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nrs.fr/cw/dossiers/dospoles/alternative13.html" TargetMode="Externa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addhelium.com/wp-content/uploads/2020/11/original_1647485839.jpg" TargetMode="External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1410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