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07450E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5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5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07450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07450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450E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07450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450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5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5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5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7450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7450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7450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07450E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07450E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07450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07450E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07450E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2C7EAE" w:rsidRPr="00A77456" w:rsidRDefault="0007450E" w:rsidP="002C7EA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2C7EAE" w:rsidRPr="00A77456" w:rsidRDefault="0007450E" w:rsidP="002C7EA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2C7EAE" w:rsidRPr="00D87AD1" w:rsidRDefault="0007450E" w:rsidP="002C7EAE">
      <w:pPr>
        <w:spacing w:after="120"/>
        <w:rPr>
          <w:b/>
          <w:sz w:val="22"/>
        </w:rPr>
      </w:pPr>
      <w:r>
        <w:rPr>
          <w:b/>
          <w:sz w:val="28"/>
        </w:rPr>
        <w:t>Des moustiques résistants aux insecticides</w:t>
      </w:r>
    </w:p>
    <w:p w:rsidR="002C7EAE" w:rsidRPr="000E2C8B" w:rsidRDefault="0007450E" w:rsidP="002C7EAE">
      <w:pPr>
        <w:spacing w:after="0"/>
        <w:rPr>
          <w:i/>
        </w:rPr>
      </w:pPr>
      <w:r w:rsidRPr="00D74F67">
        <w:rPr>
          <w:i/>
        </w:rPr>
        <w:t>Sur 10 points</w:t>
      </w:r>
    </w:p>
    <w:p w:rsidR="00F13A3B" w:rsidRDefault="0007450E" w:rsidP="00AF170B">
      <w:pPr>
        <w:shd w:val="clear" w:color="auto" w:fill="FFFFFF"/>
        <w:spacing w:after="0" w:line="240" w:lineRule="auto"/>
        <w:rPr>
          <w:rFonts w:eastAsia="Times New Roman" w:cs="Arial"/>
          <w:color w:val="2D2D2D"/>
        </w:rPr>
      </w:pPr>
    </w:p>
    <w:p w:rsidR="003D2908" w:rsidRDefault="0007450E" w:rsidP="002C7EAE">
      <w:pP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>De 1968 à 2002, la population</w:t>
      </w:r>
      <w:r w:rsidRPr="0092074A">
        <w:rPr>
          <w:rFonts w:eastAsia="Times New Roman" w:cs="Arial"/>
          <w:color w:val="2D2D2D"/>
        </w:rPr>
        <w:t xml:space="preserve"> de moustiques</w:t>
      </w:r>
      <w:r>
        <w:rPr>
          <w:rFonts w:eastAsia="Times New Roman" w:cs="Arial"/>
          <w:color w:val="2D2D2D"/>
        </w:rPr>
        <w:t xml:space="preserve"> </w:t>
      </w:r>
      <w:r w:rsidRPr="0092074A">
        <w:rPr>
          <w:rFonts w:eastAsia="Times New Roman" w:cs="Arial"/>
          <w:i/>
          <w:iCs/>
          <w:color w:val="2D2D2D"/>
          <w:bdr w:val="none" w:sz="0" w:space="0" w:color="auto" w:frame="1"/>
        </w:rPr>
        <w:t xml:space="preserve">Culex pipiens </w:t>
      </w:r>
      <w:r w:rsidRPr="00AF170B">
        <w:rPr>
          <w:rFonts w:eastAsia="Times New Roman" w:cs="Arial"/>
          <w:iCs/>
          <w:color w:val="2D2D2D"/>
          <w:bdr w:val="none" w:sz="0" w:space="0" w:color="auto" w:frame="1"/>
        </w:rPr>
        <w:t>a été</w:t>
      </w:r>
      <w:r w:rsidRPr="0092074A">
        <w:rPr>
          <w:rFonts w:eastAsia="Times New Roman" w:cs="Arial"/>
          <w:color w:val="2D2D2D"/>
        </w:rPr>
        <w:t xml:space="preserve"> contrôlée dans le sud de la France par l’épandage d’insecticides sur les étendues d’eau dans lesquelles se développent leurs larves. </w:t>
      </w:r>
    </w:p>
    <w:p w:rsidR="00C77660" w:rsidRPr="0092074A" w:rsidRDefault="0007450E" w:rsidP="002C7EAE">
      <w:pPr>
        <w:shd w:val="clear" w:color="auto" w:fill="FFFFFF"/>
        <w:spacing w:after="24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 xml:space="preserve">On s’intéresse à la résistance développée par certains moustiques à ces insecticides </w:t>
      </w:r>
      <w:r w:rsidRPr="0092074A">
        <w:rPr>
          <w:rFonts w:eastAsia="Times New Roman" w:cs="Arial"/>
          <w:color w:val="2D2D2D"/>
        </w:rPr>
        <w:t>dans la région de Montpellier.</w:t>
      </w:r>
      <w:r>
        <w:rPr>
          <w:rFonts w:eastAsia="Times New Roman" w:cs="Arial"/>
          <w:color w:val="2D2D2D"/>
        </w:rPr>
        <w:t xml:space="preserve"> </w:t>
      </w:r>
    </w:p>
    <w:p w:rsidR="00C77660" w:rsidRPr="00C77660" w:rsidRDefault="0007450E" w:rsidP="003D18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</w:pP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Document 1 </w:t>
      </w:r>
      <w:r w:rsidRPr="00C77660">
        <w:rPr>
          <w:rFonts w:eastAsia="Times New Roman" w:cs="Arial"/>
          <w:color w:val="2D2D2D"/>
          <w:u w:val="single"/>
          <w:bdr w:val="none" w:sz="0" w:space="0" w:color="auto" w:frame="1"/>
        </w:rPr>
        <w:t xml:space="preserve">: </w:t>
      </w: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résistance de</w:t>
      </w: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 xml:space="preserve"> </w:t>
      </w:r>
      <w:r w:rsidRPr="00C77660">
        <w:rPr>
          <w:rFonts w:eastAsia="Times New Roman" w:cs="Arial"/>
          <w:b/>
          <w:bCs/>
          <w:i/>
          <w:iCs/>
          <w:color w:val="2D2D2D"/>
          <w:u w:val="single"/>
          <w:bdr w:val="none" w:sz="0" w:space="0" w:color="auto" w:frame="1"/>
        </w:rPr>
        <w:t>Culex pipiens</w:t>
      </w: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 xml:space="preserve"> aux insecticides</w:t>
      </w:r>
    </w:p>
    <w:p w:rsidR="00F15CB6" w:rsidRDefault="0007450E" w:rsidP="003D18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  <w:bdr w:val="none" w:sz="0" w:space="0" w:color="auto" w:frame="1"/>
        </w:rPr>
      </w:pPr>
      <w:r>
        <w:rPr>
          <w:rFonts w:eastAsia="Times New Roman" w:cs="Arial"/>
          <w:color w:val="2D2D2D"/>
          <w:bdr w:val="none" w:sz="0" w:space="0" w:color="auto" w:frame="1"/>
        </w:rPr>
        <w:t>D</w:t>
      </w:r>
      <w:r w:rsidRPr="0092074A">
        <w:rPr>
          <w:rFonts w:eastAsia="Times New Roman" w:cs="Arial"/>
          <w:color w:val="2D2D2D"/>
          <w:bdr w:val="none" w:sz="0" w:space="0" w:color="auto" w:frame="1"/>
        </w:rPr>
        <w:t>es insecticides</w:t>
      </w:r>
      <w:r>
        <w:rPr>
          <w:rFonts w:eastAsia="Times New Roman" w:cs="Arial"/>
          <w:color w:val="2D2D2D"/>
          <w:bdr w:val="none" w:sz="0" w:space="0" w:color="auto" w:frame="1"/>
        </w:rPr>
        <w:t xml:space="preserve"> organophosphorés ont été utilisés</w:t>
      </w:r>
      <w:r w:rsidRPr="009023B5">
        <w:rPr>
          <w:rFonts w:eastAsia="Times New Roman" w:cs="Arial"/>
          <w:color w:val="2D2D2D"/>
          <w:bdr w:val="none" w:sz="0" w:space="0" w:color="auto" w:frame="1"/>
        </w:rPr>
        <w:t xml:space="preserve"> </w:t>
      </w:r>
      <w:r>
        <w:rPr>
          <w:rFonts w:eastAsia="Times New Roman" w:cs="Arial"/>
          <w:color w:val="2D2D2D"/>
          <w:bdr w:val="none" w:sz="0" w:space="0" w:color="auto" w:frame="1"/>
        </w:rPr>
        <w:t>p</w:t>
      </w:r>
      <w:r w:rsidRPr="0092074A">
        <w:rPr>
          <w:rFonts w:eastAsia="Times New Roman" w:cs="Arial"/>
          <w:color w:val="2D2D2D"/>
          <w:bdr w:val="none" w:sz="0" w:space="0" w:color="auto" w:frame="1"/>
        </w:rPr>
        <w:t>our lutter contre le moustique</w:t>
      </w:r>
      <w:r>
        <w:rPr>
          <w:rFonts w:eastAsia="Times New Roman" w:cs="Arial"/>
          <w:color w:val="2D2D2D"/>
          <w:bdr w:val="none" w:sz="0" w:space="0" w:color="auto" w:frame="1"/>
        </w:rPr>
        <w:t xml:space="preserve"> </w:t>
      </w:r>
      <w:r w:rsidRPr="0092074A">
        <w:rPr>
          <w:rFonts w:eastAsia="Times New Roman" w:cs="Arial"/>
          <w:i/>
          <w:iCs/>
          <w:color w:val="2D2D2D"/>
          <w:bdr w:val="none" w:sz="0" w:space="0" w:color="auto" w:frame="1"/>
        </w:rPr>
        <w:t>Culex pipiens</w:t>
      </w:r>
      <w:r>
        <w:rPr>
          <w:rFonts w:eastAsia="Times New Roman" w:cs="Arial"/>
          <w:i/>
          <w:iCs/>
          <w:color w:val="2D2D2D"/>
          <w:bdr w:val="none" w:sz="0" w:space="0" w:color="auto" w:frame="1"/>
        </w:rPr>
        <w:t>.</w:t>
      </w:r>
      <w:r>
        <w:rPr>
          <w:rFonts w:eastAsia="Times New Roman" w:cs="Arial"/>
          <w:color w:val="2D2D2D"/>
          <w:bdr w:val="none" w:sz="0" w:space="0" w:color="auto" w:frame="1"/>
        </w:rPr>
        <w:t xml:space="preserve"> Certains moustiques y sont devenus résistants. 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L’étude du génome du </w:t>
      </w:r>
      <w:r w:rsidRPr="0092074A">
        <w:rPr>
          <w:rFonts w:eastAsia="Times New Roman" w:cs="Arial"/>
          <w:color w:val="2D2D2D"/>
          <w:bdr w:val="none" w:sz="0" w:space="0" w:color="auto" w:frame="1"/>
        </w:rPr>
        <w:t>moustique a montré qu</w:t>
      </w:r>
      <w:r>
        <w:rPr>
          <w:rFonts w:eastAsia="Times New Roman" w:cs="Arial"/>
          <w:color w:val="2D2D2D"/>
          <w:bdr w:val="none" w:sz="0" w:space="0" w:color="auto" w:frame="1"/>
        </w:rPr>
        <w:t>e le moustique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 possédait </w:t>
      </w:r>
      <w:r>
        <w:rPr>
          <w:rFonts w:eastAsia="Times New Roman" w:cs="Arial"/>
          <w:color w:val="2D2D2D"/>
          <w:bdr w:val="none" w:sz="0" w:space="0" w:color="auto" w:frame="1"/>
        </w:rPr>
        <w:t>un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 gène codant</w:t>
      </w:r>
      <w:r>
        <w:rPr>
          <w:rFonts w:eastAsia="Times New Roman" w:cs="Arial"/>
          <w:color w:val="2D2D2D"/>
          <w:bdr w:val="none" w:sz="0" w:space="0" w:color="auto" w:frame="1"/>
        </w:rPr>
        <w:t xml:space="preserve"> une molécule (</w:t>
      </w:r>
      <w:r w:rsidRPr="003D6E56">
        <w:rPr>
          <w:rFonts w:eastAsia="Times New Roman" w:cs="Arial"/>
          <w:color w:val="2D2D2D"/>
          <w:bdr w:val="none" w:sz="0" w:space="0" w:color="auto" w:frame="1"/>
        </w:rPr>
        <w:t>enzyme</w:t>
      </w:r>
      <w:r>
        <w:rPr>
          <w:rFonts w:eastAsia="Times New Roman" w:cs="Arial"/>
          <w:color w:val="2D2D2D"/>
          <w:bdr w:val="none" w:sz="0" w:space="0" w:color="auto" w:frame="1"/>
        </w:rPr>
        <w:t>)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, </w:t>
      </w:r>
      <w:r>
        <w:rPr>
          <w:rFonts w:eastAsia="Times New Roman" w:cs="Arial"/>
          <w:color w:val="2D2D2D"/>
          <w:bdr w:val="none" w:sz="0" w:space="0" w:color="auto" w:frame="1"/>
        </w:rPr>
        <w:t xml:space="preserve">sous deux allèles : </w:t>
      </w:r>
    </w:p>
    <w:p w:rsidR="00F15CB6" w:rsidRPr="00F13A3B" w:rsidRDefault="0007450E" w:rsidP="003D18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  <w:bdr w:val="none" w:sz="0" w:space="0" w:color="auto" w:frame="1"/>
        </w:rPr>
      </w:pPr>
      <w:r>
        <w:rPr>
          <w:rFonts w:eastAsia="Times New Roman" w:cs="Arial"/>
          <w:color w:val="2D2D2D"/>
          <w:bdr w:val="none" w:sz="0" w:space="0" w:color="auto" w:frame="1"/>
        </w:rPr>
        <w:t xml:space="preserve">    • </w:t>
      </w:r>
      <w:r w:rsidRPr="00F13A3B">
        <w:rPr>
          <w:rFonts w:eastAsia="Times New Roman" w:cs="Arial"/>
          <w:color w:val="2D2D2D"/>
          <w:bdr w:val="none" w:sz="0" w:space="0" w:color="auto" w:frame="1"/>
        </w:rPr>
        <w:t>l’allèle R (résistance) conférant la capacité de résister</w:t>
      </w:r>
      <w:r w:rsidRPr="00F13A3B" w:rsidDel="000A36D8">
        <w:rPr>
          <w:rFonts w:eastAsia="Times New Roman" w:cs="Arial"/>
          <w:color w:val="2D2D2D"/>
          <w:bdr w:val="none" w:sz="0" w:space="0" w:color="auto" w:frame="1"/>
        </w:rPr>
        <w:t xml:space="preserve"> </w:t>
      </w:r>
      <w:r w:rsidRPr="00F13A3B">
        <w:rPr>
          <w:rFonts w:eastAsia="Times New Roman" w:cs="Arial"/>
          <w:color w:val="2D2D2D"/>
          <w:bdr w:val="none" w:sz="0" w:space="0" w:color="auto" w:frame="1"/>
        </w:rPr>
        <w:t>aux insecticides ;</w:t>
      </w:r>
    </w:p>
    <w:p w:rsidR="006A05AD" w:rsidRPr="00F13A3B" w:rsidRDefault="0007450E" w:rsidP="003D18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rPr>
          <w:rFonts w:eastAsia="Times New Roman" w:cs="Arial"/>
          <w:color w:val="2D2D2D"/>
          <w:bdr w:val="none" w:sz="0" w:space="0" w:color="auto" w:frame="1"/>
        </w:rPr>
      </w:pPr>
      <w:r>
        <w:rPr>
          <w:rFonts w:eastAsia="Times New Roman" w:cs="Arial"/>
          <w:color w:val="2D2D2D"/>
          <w:bdr w:val="none" w:sz="0" w:space="0" w:color="auto" w:frame="1"/>
        </w:rPr>
        <w:t xml:space="preserve">    • </w:t>
      </w:r>
      <w:r w:rsidRPr="00F13A3B">
        <w:rPr>
          <w:rFonts w:eastAsia="Times New Roman" w:cs="Arial"/>
          <w:color w:val="2D2D2D"/>
          <w:bdr w:val="none" w:sz="0" w:space="0" w:color="auto" w:frame="1"/>
        </w:rPr>
        <w:t>l’allèle S (sensible).</w:t>
      </w:r>
    </w:p>
    <w:p w:rsidR="003D6E56" w:rsidRPr="0092074A" w:rsidRDefault="0007450E" w:rsidP="003D18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rPr>
          <w:rFonts w:eastAsia="Times New Roman" w:cs="Arial"/>
          <w:color w:val="2D2D2D"/>
        </w:rPr>
      </w:pPr>
      <w:r>
        <w:rPr>
          <w:rFonts w:eastAsia="Times New Roman" w:cs="Arial"/>
          <w:color w:val="2D2D2D"/>
          <w:bdr w:val="none" w:sz="0" w:space="0" w:color="auto" w:frame="1"/>
        </w:rPr>
        <w:t xml:space="preserve">On observe que la quantité de cette </w:t>
      </w:r>
      <w:r>
        <w:rPr>
          <w:rFonts w:eastAsia="Times New Roman" w:cs="Arial"/>
          <w:color w:val="2D2D2D"/>
          <w:bdr w:val="none" w:sz="0" w:space="0" w:color="auto" w:frame="1"/>
        </w:rPr>
        <w:t>enzyme produite dépend du génotype du moustique. On constate que la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 quantité </w:t>
      </w:r>
      <w:r>
        <w:rPr>
          <w:rFonts w:eastAsia="Times New Roman" w:cs="Arial"/>
          <w:color w:val="2D2D2D"/>
        </w:rPr>
        <w:t>de</w:t>
      </w:r>
      <w:r>
        <w:rPr>
          <w:rFonts w:eastAsia="Times New Roman" w:cs="Arial"/>
          <w:color w:val="2D2D2D"/>
          <w:bdr w:val="none" w:sz="0" w:space="0" w:color="auto" w:frame="1"/>
        </w:rPr>
        <w:t xml:space="preserve"> celle-ci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 </w:t>
      </w:r>
      <w:r>
        <w:rPr>
          <w:rFonts w:eastAsia="Times New Roman" w:cs="Arial"/>
          <w:color w:val="2D2D2D"/>
          <w:bdr w:val="none" w:sz="0" w:space="0" w:color="auto" w:frame="1"/>
        </w:rPr>
        <w:t>est</w:t>
      </w:r>
      <w:r w:rsidRPr="0092074A">
        <w:rPr>
          <w:rFonts w:eastAsia="Times New Roman" w:cs="Arial"/>
          <w:color w:val="2D2D2D"/>
          <w:bdr w:val="none" w:sz="0" w:space="0" w:color="auto" w:frame="1"/>
        </w:rPr>
        <w:t xml:space="preserve"> </w:t>
      </w:r>
      <w:r>
        <w:rPr>
          <w:rFonts w:eastAsia="Times New Roman" w:cs="Arial"/>
          <w:color w:val="2D2D2D"/>
          <w:bdr w:val="none" w:sz="0" w:space="0" w:color="auto" w:frame="1"/>
        </w:rPr>
        <w:t xml:space="preserve">ainsi </w:t>
      </w:r>
      <w:r w:rsidRPr="0092074A">
        <w:rPr>
          <w:rFonts w:eastAsia="Times New Roman" w:cs="Arial"/>
          <w:color w:val="2D2D2D"/>
          <w:bdr w:val="none" w:sz="0" w:space="0" w:color="auto" w:frame="1"/>
        </w:rPr>
        <w:t>500 fois plus importante chez un moustique résistant que chez un moustique sensible.</w:t>
      </w:r>
    </w:p>
    <w:p w:rsidR="003D6E56" w:rsidRPr="0092074A" w:rsidRDefault="0007450E" w:rsidP="003D6E56">
      <w:pPr>
        <w:shd w:val="clear" w:color="auto" w:fill="FFFFFF"/>
        <w:spacing w:after="0" w:line="240" w:lineRule="auto"/>
        <w:rPr>
          <w:rFonts w:eastAsia="Times New Roman" w:cs="Arial"/>
          <w:color w:val="2D2D2D"/>
        </w:rPr>
      </w:pPr>
    </w:p>
    <w:p w:rsidR="00C77660" w:rsidRDefault="0007450E" w:rsidP="009100D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</w:pP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 xml:space="preserve">Document 2 : </w:t>
      </w: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a</w:t>
      </w: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 xml:space="preserve">ction de l’enzyme sur </w:t>
      </w: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un insecticide, le parathion</w:t>
      </w:r>
    </w:p>
    <w:p w:rsidR="00C77660" w:rsidRDefault="0007450E" w:rsidP="009100D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 xml:space="preserve">Le </w:t>
      </w:r>
      <w:r w:rsidRPr="0092074A">
        <w:rPr>
          <w:rFonts w:eastAsia="Times New Roman" w:cs="Arial"/>
          <w:color w:val="2D2D2D"/>
        </w:rPr>
        <w:t>parathion est, comme tous les insecticides organophosphorés, un</w:t>
      </w:r>
      <w:r>
        <w:rPr>
          <w:rFonts w:eastAsia="Times New Roman" w:cs="Arial"/>
          <w:color w:val="2D2D2D"/>
        </w:rPr>
        <w:t xml:space="preserve">e molécule </w:t>
      </w:r>
      <w:r w:rsidRPr="0092074A">
        <w:rPr>
          <w:rFonts w:eastAsia="Times New Roman" w:cs="Arial"/>
          <w:color w:val="2D2D2D"/>
        </w:rPr>
        <w:t xml:space="preserve">qui altère le fonctionnement du système nerveux du moustique entraînant sa mort. Pour qu’il soit efficace, il doit pénétrer dans l’organisme de l’insecte et atteindre </w:t>
      </w:r>
      <w:r>
        <w:rPr>
          <w:rFonts w:eastAsia="Times New Roman" w:cs="Arial"/>
          <w:color w:val="2D2D2D"/>
        </w:rPr>
        <w:t>son</w:t>
      </w:r>
      <w:r w:rsidRPr="0092074A">
        <w:rPr>
          <w:rFonts w:eastAsia="Times New Roman" w:cs="Arial"/>
          <w:color w:val="2D2D2D"/>
        </w:rPr>
        <w:t xml:space="preserve"> système ner</w:t>
      </w:r>
      <w:r w:rsidRPr="0092074A">
        <w:rPr>
          <w:rFonts w:eastAsia="Times New Roman" w:cs="Arial"/>
          <w:color w:val="2D2D2D"/>
        </w:rPr>
        <w:t>veux</w:t>
      </w:r>
      <w:r>
        <w:rPr>
          <w:rFonts w:eastAsia="Times New Roman" w:cs="Arial"/>
          <w:color w:val="2D2D2D"/>
        </w:rPr>
        <w:t>.</w:t>
      </w:r>
    </w:p>
    <w:p w:rsidR="00C77660" w:rsidRPr="00AF170B" w:rsidRDefault="0007450E" w:rsidP="009100D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  <w:szCs w:val="22"/>
        </w:rPr>
      </w:pPr>
      <w:r>
        <w:rPr>
          <w:rFonts w:eastAsia="Times New Roman" w:cs="Arial"/>
          <w:color w:val="2D2D2D"/>
        </w:rPr>
        <w:t xml:space="preserve">Chez le moustique </w:t>
      </w:r>
      <w:r w:rsidRPr="00C159C9">
        <w:rPr>
          <w:rFonts w:eastAsia="Times New Roman" w:cs="Arial"/>
          <w:color w:val="2D2D2D"/>
          <w:szCs w:val="22"/>
        </w:rPr>
        <w:t xml:space="preserve">résistant </w:t>
      </w:r>
      <w:r>
        <w:rPr>
          <w:rFonts w:eastAsia="Times New Roman" w:cs="Arial"/>
          <w:color w:val="2D2D2D"/>
          <w:szCs w:val="22"/>
        </w:rPr>
        <w:t>au</w:t>
      </w:r>
      <w:r w:rsidRPr="00C159C9">
        <w:rPr>
          <w:rFonts w:eastAsia="Times New Roman" w:cs="Arial"/>
          <w:color w:val="2D2D2D"/>
          <w:szCs w:val="22"/>
        </w:rPr>
        <w:t xml:space="preserve"> parathion</w:t>
      </w:r>
      <w:r>
        <w:rPr>
          <w:rFonts w:eastAsia="Times New Roman" w:cs="Arial"/>
          <w:color w:val="2D2D2D"/>
          <w:szCs w:val="22"/>
        </w:rPr>
        <w:t>, on peut schématiser ainsi</w:t>
      </w:r>
      <w:r w:rsidRPr="00AF170B">
        <w:rPr>
          <w:rFonts w:eastAsia="Times New Roman" w:cs="Arial"/>
          <w:color w:val="2D2D2D"/>
          <w:szCs w:val="22"/>
        </w:rPr>
        <w:t xml:space="preserve"> l’action de l’enzyme </w:t>
      </w:r>
      <w:r>
        <w:rPr>
          <w:rFonts w:eastAsia="Times New Roman" w:cs="Arial"/>
          <w:color w:val="2D2D2D"/>
          <w:szCs w:val="22"/>
        </w:rPr>
        <w:t xml:space="preserve">évoquée dans le document 1 </w:t>
      </w:r>
      <w:r w:rsidRPr="00AF170B">
        <w:rPr>
          <w:rFonts w:eastAsia="Times New Roman" w:cs="Arial"/>
          <w:color w:val="2D2D2D"/>
          <w:szCs w:val="22"/>
        </w:rPr>
        <w:t xml:space="preserve">: </w:t>
      </w:r>
    </w:p>
    <w:p w:rsidR="00C77660" w:rsidRDefault="0007450E" w:rsidP="009100D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240" w:line="240" w:lineRule="auto"/>
        <w:jc w:val="center"/>
        <w:rPr>
          <w:rFonts w:eastAsia="Times New Roman" w:cs="Arial"/>
          <w:color w:val="2D2D2D"/>
        </w:rPr>
      </w:pPr>
      <w:r>
        <w:rPr>
          <w:noProof/>
        </w:rPr>
        <w:drawing>
          <wp:inline distT="0" distB="0" distL="0" distR="0" wp14:anchorId="53801102" wp14:editId="1E3DA0B7">
            <wp:extent cx="5299788" cy="469922"/>
            <wp:effectExtent l="0" t="0" r="0" b="0"/>
            <wp:docPr id="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452" cy="47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E76" w:rsidRDefault="0007450E">
      <w:pPr>
        <w:spacing w:after="0" w:line="240" w:lineRule="auto"/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</w:pP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br w:type="page"/>
      </w:r>
    </w:p>
    <w:p w:rsidR="00C77660" w:rsidRPr="00C77660" w:rsidRDefault="0007450E" w:rsidP="005710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  <w:u w:val="single"/>
        </w:rPr>
      </w:pP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lastRenderedPageBreak/>
        <w:t xml:space="preserve">Document 3 : </w:t>
      </w:r>
      <w:r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é</w:t>
      </w:r>
      <w:r w:rsidRPr="00C77660">
        <w:rPr>
          <w:rFonts w:eastAsia="Times New Roman" w:cs="Arial"/>
          <w:b/>
          <w:bCs/>
          <w:color w:val="2D2D2D"/>
          <w:u w:val="single"/>
          <w:bdr w:val="none" w:sz="0" w:space="0" w:color="auto" w:frame="1"/>
        </w:rPr>
        <w:t>chantillonnage d’une population de moustiques dans la région de Montpellier</w:t>
      </w:r>
    </w:p>
    <w:p w:rsidR="00C77660" w:rsidRPr="0092074A" w:rsidRDefault="0007450E" w:rsidP="005710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>La carte ci-</w:t>
      </w:r>
      <w:r>
        <w:rPr>
          <w:rFonts w:eastAsia="Times New Roman" w:cs="Arial"/>
          <w:color w:val="2D2D2D"/>
        </w:rPr>
        <w:t>dessous</w:t>
      </w:r>
      <w:r w:rsidRPr="0092074A">
        <w:rPr>
          <w:rFonts w:eastAsia="Times New Roman" w:cs="Arial"/>
          <w:color w:val="2D2D2D"/>
        </w:rPr>
        <w:t xml:space="preserve"> </w:t>
      </w:r>
      <w:r>
        <w:rPr>
          <w:rFonts w:eastAsia="Times New Roman" w:cs="Arial"/>
          <w:color w:val="2D2D2D"/>
        </w:rPr>
        <w:t xml:space="preserve">définit les </w:t>
      </w:r>
      <w:r>
        <w:rPr>
          <w:rFonts w:eastAsia="Times New Roman" w:cs="Arial"/>
          <w:color w:val="2D2D2D"/>
        </w:rPr>
        <w:t>différentes zones exposées ou non aux insecticides organophosphorés.</w:t>
      </w:r>
    </w:p>
    <w:p w:rsidR="00C77660" w:rsidRDefault="0007450E" w:rsidP="005710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>La</w:t>
      </w:r>
      <w:r>
        <w:rPr>
          <w:rFonts w:eastAsia="Times New Roman" w:cs="Arial"/>
          <w:color w:val="2D2D2D"/>
        </w:rPr>
        <w:t xml:space="preserve"> </w:t>
      </w:r>
      <w:r w:rsidRPr="00AF170B">
        <w:rPr>
          <w:rFonts w:eastAsia="Times New Roman" w:cs="Arial"/>
          <w:bCs/>
          <w:color w:val="2D2D2D"/>
          <w:bdr w:val="none" w:sz="0" w:space="0" w:color="auto" w:frame="1"/>
        </w:rPr>
        <w:t>zone 1</w:t>
      </w:r>
      <w:r w:rsidRPr="0092074A">
        <w:rPr>
          <w:rFonts w:eastAsia="Times New Roman" w:cs="Arial"/>
          <w:color w:val="2D2D2D"/>
        </w:rPr>
        <w:t>, située au nord, n’a jamais été traitée avec des insecticides organophosphorés.</w:t>
      </w:r>
    </w:p>
    <w:p w:rsidR="00F13A3B" w:rsidRDefault="0007450E" w:rsidP="005710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120" w:line="240" w:lineRule="auto"/>
        <w:jc w:val="both"/>
        <w:rPr>
          <w:rFonts w:eastAsia="Times New Roman" w:cs="Arial"/>
          <w:color w:val="2D2D2D"/>
        </w:rPr>
      </w:pPr>
      <w:r w:rsidRPr="0092074A">
        <w:rPr>
          <w:rFonts w:eastAsia="Times New Roman" w:cs="Arial"/>
          <w:color w:val="2D2D2D"/>
        </w:rPr>
        <w:t>La</w:t>
      </w:r>
      <w:r>
        <w:rPr>
          <w:rFonts w:eastAsia="Times New Roman" w:cs="Arial"/>
          <w:color w:val="2D2D2D"/>
        </w:rPr>
        <w:t xml:space="preserve"> </w:t>
      </w:r>
      <w:r w:rsidRPr="00AF170B">
        <w:rPr>
          <w:rFonts w:eastAsia="Times New Roman" w:cs="Arial"/>
          <w:bCs/>
          <w:color w:val="2D2D2D"/>
          <w:bdr w:val="none" w:sz="0" w:space="0" w:color="auto" w:frame="1"/>
        </w:rPr>
        <w:t>zone 2</w:t>
      </w:r>
      <w:r w:rsidRPr="0092074A">
        <w:rPr>
          <w:rFonts w:eastAsia="Times New Roman" w:cs="Arial"/>
          <w:color w:val="2D2D2D"/>
        </w:rPr>
        <w:t>, située au sud, a été traitée avec des insecticides organophosphorés depuis 1968. À cet</w:t>
      </w:r>
      <w:r w:rsidRPr="0092074A">
        <w:rPr>
          <w:rFonts w:eastAsia="Times New Roman" w:cs="Arial"/>
          <w:color w:val="2D2D2D"/>
        </w:rPr>
        <w:t>te époque, ces insecticides étaient très efficaces dans cette zone et tuaient la majorité des moustiques.</w:t>
      </w:r>
    </w:p>
    <w:p w:rsidR="00F13A3B" w:rsidRDefault="0007450E" w:rsidP="005710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eastAsia="Times New Roman" w:cs="Arial"/>
          <w:i/>
          <w:iCs/>
          <w:color w:val="2D2D2D"/>
          <w:sz w:val="20"/>
          <w:szCs w:val="20"/>
          <w:bdr w:val="none" w:sz="0" w:space="0" w:color="auto" w:frame="1"/>
        </w:rPr>
      </w:pPr>
      <w:r w:rsidRPr="0092074A">
        <w:rPr>
          <w:rFonts w:eastAsia="Times New Roman" w:cs="Arial"/>
          <w:noProof/>
          <w:color w:val="2D2D2D"/>
        </w:rPr>
        <w:drawing>
          <wp:inline distT="0" distB="0" distL="0" distR="0" wp14:anchorId="2F512035" wp14:editId="3C86AB93">
            <wp:extent cx="3971290" cy="5063486"/>
            <wp:effectExtent l="0" t="0" r="0" b="4445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6"/>
                    <a:stretch/>
                  </pic:blipFill>
                  <pic:spPr bwMode="auto">
                    <a:xfrm>
                      <a:off x="0" y="0"/>
                      <a:ext cx="3995203" cy="509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7660" w:rsidRPr="00D17D11" w:rsidRDefault="0007450E" w:rsidP="00D1582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120" w:after="0" w:line="240" w:lineRule="auto"/>
        <w:jc w:val="right"/>
        <w:rPr>
          <w:rFonts w:eastAsia="Times New Roman" w:cs="Arial"/>
          <w:color w:val="2D2D2D"/>
          <w:sz w:val="20"/>
          <w:szCs w:val="20"/>
        </w:rPr>
      </w:pPr>
      <w:r w:rsidRPr="00D17D11">
        <w:rPr>
          <w:rFonts w:eastAsia="Times New Roman" w:cs="Arial"/>
          <w:i/>
          <w:iCs/>
          <w:color w:val="2D2D2D"/>
          <w:sz w:val="20"/>
          <w:szCs w:val="20"/>
          <w:bdr w:val="none" w:sz="0" w:space="0" w:color="auto" w:frame="1"/>
        </w:rPr>
        <w:t>D’après www.acces.ens-lyon.fr</w:t>
      </w:r>
    </w:p>
    <w:p w:rsidR="00771E76" w:rsidRDefault="0007450E" w:rsidP="00F13A3B">
      <w:pPr>
        <w:shd w:val="clear" w:color="auto" w:fill="FFFFFF"/>
        <w:spacing w:after="240" w:line="240" w:lineRule="auto"/>
        <w:rPr>
          <w:rFonts w:cs="Arial"/>
        </w:rPr>
      </w:pPr>
      <w:r w:rsidRPr="00D17D11">
        <w:rPr>
          <w:rFonts w:eastAsia="Times New Roman" w:cs="Arial"/>
          <w:color w:val="2D2D2D"/>
          <w:sz w:val="20"/>
          <w:szCs w:val="20"/>
        </w:rPr>
        <w:t> </w:t>
      </w:r>
      <w:r>
        <w:rPr>
          <w:rFonts w:cs="Arial"/>
        </w:rPr>
        <w:br w:type="page"/>
      </w:r>
    </w:p>
    <w:p w:rsidR="001701A9" w:rsidRDefault="0007450E" w:rsidP="00D311E7">
      <w:pPr>
        <w:jc w:val="both"/>
        <w:rPr>
          <w:rFonts w:cs="Arial"/>
        </w:rPr>
      </w:pPr>
    </w:p>
    <w:p w:rsidR="00C77660" w:rsidRDefault="0007450E" w:rsidP="00D311E7">
      <w:pPr>
        <w:jc w:val="both"/>
        <w:rPr>
          <w:rFonts w:cs="Arial"/>
        </w:rPr>
      </w:pPr>
      <w:r w:rsidRPr="00AF170B">
        <w:rPr>
          <w:rFonts w:cs="Arial"/>
        </w:rPr>
        <w:t>En 1980,</w:t>
      </w:r>
      <w:r w:rsidRPr="00E226C1">
        <w:rPr>
          <w:rFonts w:cs="Arial"/>
        </w:rPr>
        <w:t xml:space="preserve"> </w:t>
      </w:r>
      <w:r>
        <w:rPr>
          <w:rFonts w:cs="Arial"/>
        </w:rPr>
        <w:t>un échantillonnage a été réalisé dans une population de moustiques située à Maurin</w:t>
      </w:r>
      <w:r>
        <w:rPr>
          <w:rFonts w:cs="Arial"/>
        </w:rPr>
        <w:t xml:space="preserve"> (zone 2) afin d’étudier la structure génétique de cette population.</w:t>
      </w:r>
    </w:p>
    <w:p w:rsidR="00C77660" w:rsidRDefault="0007450E" w:rsidP="00D311E7">
      <w:pPr>
        <w:jc w:val="both"/>
        <w:rPr>
          <w:rFonts w:cs="Arial"/>
        </w:rPr>
      </w:pPr>
      <w:r>
        <w:rPr>
          <w:rFonts w:cs="Arial"/>
        </w:rPr>
        <w:t>Les résultats de cette étude sont résumés dans le tableau ci-dessous.</w:t>
      </w:r>
      <w:r w:rsidRPr="00E226C1">
        <w:rPr>
          <w:rFonts w:cs="Arial"/>
        </w:rPr>
        <w:t xml:space="preserve"> </w:t>
      </w: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2788"/>
        <w:gridCol w:w="1536"/>
        <w:gridCol w:w="1535"/>
        <w:gridCol w:w="1535"/>
        <w:gridCol w:w="1529"/>
      </w:tblGrid>
      <w:tr w:rsidR="006739B0" w:rsidTr="006739B0">
        <w:trPr>
          <w:trHeight w:val="340"/>
        </w:trPr>
        <w:tc>
          <w:tcPr>
            <w:tcW w:w="2851" w:type="dxa"/>
            <w:shd w:val="clear" w:color="auto" w:fill="EEECE1" w:themeFill="background2"/>
            <w:vAlign w:val="center"/>
          </w:tcPr>
          <w:p w:rsidR="006739B0" w:rsidRDefault="0007450E" w:rsidP="00842A4D">
            <w:pPr>
              <w:spacing w:before="40" w:after="40"/>
              <w:ind w:left="23"/>
              <w:jc w:val="center"/>
              <w:rPr>
                <w:rFonts w:cs="Arial"/>
              </w:rPr>
            </w:pPr>
            <w:r>
              <w:rPr>
                <w:rFonts w:cs="Arial"/>
              </w:rPr>
              <w:t>Génotypes concernant le gène de résistance à l’insecticide (doc. 1)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R//R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R//S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S//S</w:t>
            </w:r>
          </w:p>
        </w:tc>
        <w:tc>
          <w:tcPr>
            <w:tcW w:w="156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Total</w:t>
            </w:r>
          </w:p>
        </w:tc>
      </w:tr>
      <w:tr w:rsidR="005F56BE" w:rsidTr="006739B0">
        <w:trPr>
          <w:trHeight w:val="340"/>
        </w:trPr>
        <w:tc>
          <w:tcPr>
            <w:tcW w:w="2851" w:type="dxa"/>
            <w:shd w:val="clear" w:color="auto" w:fill="EEECE1" w:themeFill="background2"/>
            <w:vAlign w:val="center"/>
          </w:tcPr>
          <w:p w:rsidR="005F56BE" w:rsidRDefault="0007450E" w:rsidP="00842A4D">
            <w:pPr>
              <w:spacing w:before="40" w:after="40"/>
              <w:ind w:left="23"/>
              <w:jc w:val="center"/>
              <w:rPr>
                <w:rFonts w:cs="Arial"/>
              </w:rPr>
            </w:pPr>
            <w:r>
              <w:rPr>
                <w:rFonts w:cs="Arial"/>
              </w:rPr>
              <w:t>Résistance à l’insecticide</w:t>
            </w:r>
          </w:p>
        </w:tc>
        <w:tc>
          <w:tcPr>
            <w:tcW w:w="1577" w:type="dxa"/>
            <w:vAlign w:val="center"/>
          </w:tcPr>
          <w:p w:rsidR="005F56BE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oui</w:t>
            </w:r>
          </w:p>
        </w:tc>
        <w:tc>
          <w:tcPr>
            <w:tcW w:w="1577" w:type="dxa"/>
            <w:vAlign w:val="center"/>
          </w:tcPr>
          <w:p w:rsidR="005F56BE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oui</w:t>
            </w:r>
          </w:p>
        </w:tc>
        <w:tc>
          <w:tcPr>
            <w:tcW w:w="1577" w:type="dxa"/>
            <w:vAlign w:val="center"/>
          </w:tcPr>
          <w:p w:rsidR="005F56BE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non</w:t>
            </w:r>
          </w:p>
        </w:tc>
        <w:tc>
          <w:tcPr>
            <w:tcW w:w="1567" w:type="dxa"/>
            <w:vAlign w:val="center"/>
          </w:tcPr>
          <w:p w:rsidR="005F56BE" w:rsidRDefault="0007450E" w:rsidP="00842A4D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6739B0" w:rsidTr="006739B0">
        <w:trPr>
          <w:trHeight w:val="340"/>
        </w:trPr>
        <w:tc>
          <w:tcPr>
            <w:tcW w:w="2851" w:type="dxa"/>
            <w:shd w:val="clear" w:color="auto" w:fill="EEECE1" w:themeFill="background2"/>
            <w:vAlign w:val="center"/>
          </w:tcPr>
          <w:p w:rsidR="006739B0" w:rsidRPr="00C77660" w:rsidRDefault="0007450E" w:rsidP="00842A4D">
            <w:pPr>
              <w:pStyle w:val="Sansinterligne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660"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6739B0" w:rsidRDefault="0007450E" w:rsidP="00842A4D">
            <w:pPr>
              <w:pStyle w:val="Sansinterligne"/>
              <w:spacing w:before="40" w:after="40"/>
              <w:jc w:val="center"/>
              <w:rPr>
                <w:rFonts w:ascii="Arial" w:hAnsi="Arial"/>
                <w:sz w:val="24"/>
                <w:szCs w:val="24"/>
              </w:rPr>
            </w:pPr>
            <w:r w:rsidRPr="00C77660">
              <w:rPr>
                <w:rFonts w:ascii="Arial" w:hAnsi="Arial" w:cs="Arial"/>
                <w:sz w:val="24"/>
                <w:szCs w:val="24"/>
              </w:rPr>
              <w:t>de moustiques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284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156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444</w:t>
            </w:r>
          </w:p>
        </w:tc>
      </w:tr>
      <w:tr w:rsidR="006739B0" w:rsidTr="006739B0">
        <w:trPr>
          <w:trHeight w:val="340"/>
        </w:trPr>
        <w:tc>
          <w:tcPr>
            <w:tcW w:w="2851" w:type="dxa"/>
            <w:shd w:val="clear" w:color="auto" w:fill="EEECE1" w:themeFill="background2"/>
            <w:vAlign w:val="center"/>
          </w:tcPr>
          <w:p w:rsidR="006739B0" w:rsidRDefault="0007450E" w:rsidP="00842A4D">
            <w:pPr>
              <w:pStyle w:val="Sansinterligne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Fréquence génotypique</w:t>
            </w:r>
          </w:p>
          <w:p w:rsidR="006739B0" w:rsidRPr="00C77660" w:rsidRDefault="0007450E" w:rsidP="00842A4D">
            <w:pPr>
              <w:pStyle w:val="Sansinterligne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observée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0,20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0,64</w:t>
            </w:r>
          </w:p>
        </w:tc>
        <w:tc>
          <w:tcPr>
            <w:tcW w:w="157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0,16</w:t>
            </w:r>
          </w:p>
        </w:tc>
        <w:tc>
          <w:tcPr>
            <w:tcW w:w="1567" w:type="dxa"/>
            <w:vAlign w:val="center"/>
          </w:tcPr>
          <w:p w:rsidR="006739B0" w:rsidRDefault="0007450E" w:rsidP="00842A4D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</w:tbl>
    <w:p w:rsidR="00C77660" w:rsidRPr="00771E76" w:rsidRDefault="0007450E" w:rsidP="00842A4D">
      <w:pPr>
        <w:spacing w:before="360" w:after="240"/>
        <w:jc w:val="both"/>
        <w:rPr>
          <w:rFonts w:cs="Arial"/>
        </w:rPr>
      </w:pPr>
      <w:r w:rsidRPr="00771E76">
        <w:rPr>
          <w:rFonts w:cs="Arial"/>
          <w:b/>
          <w:bCs/>
        </w:rPr>
        <w:t>1-</w:t>
      </w:r>
      <w:r>
        <w:rPr>
          <w:rFonts w:cs="Arial"/>
        </w:rPr>
        <w:t xml:space="preserve"> À</w:t>
      </w:r>
      <w:r w:rsidRPr="00771E76">
        <w:rPr>
          <w:rFonts w:cs="Arial"/>
        </w:rPr>
        <w:t xml:space="preserve"> partir des documents 1 et 2 et de </w:t>
      </w:r>
      <w:r>
        <w:rPr>
          <w:rFonts w:cs="Arial"/>
        </w:rPr>
        <w:t xml:space="preserve">vos </w:t>
      </w:r>
      <w:r w:rsidRPr="00771E76">
        <w:rPr>
          <w:rFonts w:cs="Arial"/>
        </w:rPr>
        <w:t>connaissances</w:t>
      </w:r>
      <w:r>
        <w:rPr>
          <w:rFonts w:cs="Arial"/>
        </w:rPr>
        <w:t>,</w:t>
      </w:r>
      <w:r w:rsidRPr="00771E76">
        <w:rPr>
          <w:rFonts w:cs="Arial"/>
        </w:rPr>
        <w:t xml:space="preserve"> expliquer l</w:t>
      </w:r>
      <w:r>
        <w:rPr>
          <w:rFonts w:cs="Arial"/>
        </w:rPr>
        <w:t>’acquisition de la</w:t>
      </w:r>
      <w:r w:rsidRPr="00771E76">
        <w:rPr>
          <w:rFonts w:cs="Arial"/>
        </w:rPr>
        <w:t xml:space="preserve"> résistance au parathion</w:t>
      </w:r>
      <w:r w:rsidRPr="00E91A4F">
        <w:rPr>
          <w:rFonts w:cs="Arial"/>
        </w:rPr>
        <w:t xml:space="preserve"> </w:t>
      </w:r>
      <w:r w:rsidRPr="00771E76">
        <w:rPr>
          <w:rFonts w:cs="Arial"/>
        </w:rPr>
        <w:t>de certains moustiques.</w:t>
      </w:r>
    </w:p>
    <w:p w:rsidR="006739B0" w:rsidRDefault="0007450E" w:rsidP="00842A4D">
      <w:pPr>
        <w:spacing w:after="240"/>
        <w:jc w:val="both"/>
        <w:rPr>
          <w:rFonts w:cs="Arial"/>
        </w:rPr>
      </w:pPr>
      <w:r w:rsidRPr="00771E76">
        <w:rPr>
          <w:rFonts w:cs="Arial"/>
          <w:b/>
          <w:bCs/>
        </w:rPr>
        <w:t>2-</w:t>
      </w:r>
      <w:r>
        <w:rPr>
          <w:rFonts w:cs="Arial"/>
        </w:rPr>
        <w:t xml:space="preserve"> À </w:t>
      </w:r>
      <w:r w:rsidRPr="00771E76">
        <w:rPr>
          <w:rFonts w:cs="Arial"/>
        </w:rPr>
        <w:t xml:space="preserve">partir du </w:t>
      </w:r>
      <w:r w:rsidRPr="00771E76">
        <w:rPr>
          <w:rFonts w:cs="Arial"/>
        </w:rPr>
        <w:t>document 3, vérifier que la structure génétique de la population n’est pas</w:t>
      </w:r>
      <w:r>
        <w:rPr>
          <w:rFonts w:cs="Arial"/>
        </w:rPr>
        <w:t xml:space="preserve"> </w:t>
      </w:r>
      <w:r w:rsidRPr="006D5ECB">
        <w:rPr>
          <w:rFonts w:cs="Arial"/>
        </w:rPr>
        <w:t xml:space="preserve">à l’équilibre de Hardy-Weinberg. Pour ce faire, on </w:t>
      </w:r>
      <w:r>
        <w:rPr>
          <w:rFonts w:cs="Arial"/>
        </w:rPr>
        <w:t>comparera les fréquences génotypiques observées dans la population de moustique aux fréquences génotypiques que vous calculerez se</w:t>
      </w:r>
      <w:r>
        <w:rPr>
          <w:rFonts w:cs="Arial"/>
        </w:rPr>
        <w:t>lon le modèle de Hardy-Weinberg.</w:t>
      </w:r>
    </w:p>
    <w:p w:rsidR="006739B0" w:rsidRPr="00C10DAE" w:rsidRDefault="0007450E" w:rsidP="00CB0C0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cs="Arial"/>
          <w:b/>
          <w:bCs/>
        </w:rPr>
      </w:pPr>
      <w:r w:rsidRPr="00C10DAE">
        <w:rPr>
          <w:rFonts w:cs="Arial"/>
          <w:b/>
          <w:bCs/>
        </w:rPr>
        <w:t>Rappel d</w:t>
      </w:r>
      <w:r>
        <w:rPr>
          <w:rFonts w:cs="Arial"/>
          <w:b/>
          <w:bCs/>
        </w:rPr>
        <w:t>u modèle</w:t>
      </w:r>
      <w:r w:rsidRPr="00C10DAE">
        <w:rPr>
          <w:rFonts w:cs="Arial"/>
          <w:b/>
          <w:bCs/>
        </w:rPr>
        <w:t xml:space="preserve"> de Hardy-Weinberg </w:t>
      </w:r>
      <w:r>
        <w:rPr>
          <w:rFonts w:cs="Arial"/>
          <w:b/>
          <w:bCs/>
        </w:rPr>
        <w:t>:</w:t>
      </w:r>
    </w:p>
    <w:p w:rsidR="006739B0" w:rsidRDefault="0007450E" w:rsidP="00CB0C0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cs="Arial"/>
        </w:rPr>
      </w:pPr>
      <w:r>
        <w:rPr>
          <w:rFonts w:cs="Arial"/>
        </w:rPr>
        <w:t>S</w:t>
      </w:r>
      <w:r w:rsidRPr="006739B0">
        <w:rPr>
          <w:rFonts w:cs="Arial"/>
        </w:rPr>
        <w:t xml:space="preserve">oient A1 et A2 deux allèles d'un même </w:t>
      </w:r>
      <w:r>
        <w:rPr>
          <w:rFonts w:cs="Arial"/>
        </w:rPr>
        <w:t>gène, avec p la fréquence de l’allèle A1 et q la fréquence de l’allèle A2 et p + q  =1, les fréquences génotypiques sont :</w:t>
      </w:r>
    </w:p>
    <w:p w:rsidR="00CB0C0A" w:rsidRDefault="0007450E" w:rsidP="00CB0C0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firstLine="708"/>
        <w:jc w:val="both"/>
        <w:rPr>
          <w:rFonts w:cs="Arial"/>
        </w:rPr>
      </w:pPr>
      <w:r w:rsidRPr="006739B0">
        <w:rPr>
          <w:rFonts w:cs="Arial"/>
        </w:rPr>
        <w:t>p</w:t>
      </w:r>
      <w:r w:rsidRPr="006739B0">
        <w:rPr>
          <w:rFonts w:cs="Arial"/>
          <w:vertAlign w:val="superscript"/>
        </w:rPr>
        <w:t>2</w:t>
      </w:r>
      <w:r w:rsidRPr="006739B0">
        <w:rPr>
          <w:rFonts w:cs="Arial"/>
        </w:rPr>
        <w:t> = fréquence du génoty</w:t>
      </w:r>
      <w:r w:rsidRPr="006739B0">
        <w:rPr>
          <w:rFonts w:cs="Arial"/>
        </w:rPr>
        <w:t>pe A1</w:t>
      </w:r>
      <w:r>
        <w:rPr>
          <w:rFonts w:cs="Arial"/>
        </w:rPr>
        <w:t>//</w:t>
      </w:r>
      <w:r w:rsidRPr="006739B0">
        <w:rPr>
          <w:rFonts w:cs="Arial"/>
        </w:rPr>
        <w:t>A1</w:t>
      </w:r>
    </w:p>
    <w:p w:rsidR="00CB0C0A" w:rsidRDefault="0007450E" w:rsidP="00CB0C0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firstLine="708"/>
        <w:jc w:val="both"/>
        <w:rPr>
          <w:rFonts w:cs="Arial"/>
        </w:rPr>
      </w:pPr>
      <w:r w:rsidRPr="006739B0">
        <w:rPr>
          <w:rFonts w:cs="Arial"/>
        </w:rPr>
        <w:t>2pq = fréquence du génotype A1</w:t>
      </w:r>
      <w:r>
        <w:rPr>
          <w:rFonts w:cs="Arial"/>
        </w:rPr>
        <w:t>//</w:t>
      </w:r>
      <w:r w:rsidRPr="006739B0">
        <w:rPr>
          <w:rFonts w:cs="Arial"/>
        </w:rPr>
        <w:t xml:space="preserve">A2 </w:t>
      </w:r>
    </w:p>
    <w:p w:rsidR="00C77660" w:rsidRPr="00C10DAE" w:rsidRDefault="0007450E" w:rsidP="00CB0C0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ind w:firstLine="708"/>
        <w:jc w:val="both"/>
        <w:rPr>
          <w:rFonts w:cs="Arial"/>
        </w:rPr>
      </w:pPr>
      <w:r w:rsidRPr="006739B0">
        <w:rPr>
          <w:rFonts w:cs="Arial"/>
        </w:rPr>
        <w:t>q</w:t>
      </w:r>
      <w:r w:rsidRPr="006739B0">
        <w:rPr>
          <w:rFonts w:cs="Arial"/>
          <w:vertAlign w:val="superscript"/>
        </w:rPr>
        <w:t>2</w:t>
      </w:r>
      <w:r w:rsidRPr="006739B0">
        <w:rPr>
          <w:rFonts w:cs="Arial"/>
        </w:rPr>
        <w:t> = fréquence du génotype A2</w:t>
      </w:r>
      <w:r>
        <w:rPr>
          <w:rFonts w:cs="Arial"/>
        </w:rPr>
        <w:t>//</w:t>
      </w:r>
      <w:r w:rsidRPr="006739B0">
        <w:rPr>
          <w:rFonts w:cs="Arial"/>
        </w:rPr>
        <w:t>A2</w:t>
      </w:r>
    </w:p>
    <w:p w:rsidR="00C77660" w:rsidRDefault="0007450E" w:rsidP="00842A4D">
      <w:pPr>
        <w:spacing w:before="240"/>
        <w:jc w:val="both"/>
        <w:rPr>
          <w:rFonts w:cs="Arial"/>
        </w:rPr>
      </w:pPr>
      <w:r w:rsidRPr="00771E76">
        <w:rPr>
          <w:rFonts w:cs="Arial"/>
          <w:b/>
          <w:bCs/>
        </w:rPr>
        <w:t>3-</w:t>
      </w:r>
      <w:r>
        <w:rPr>
          <w:rFonts w:cs="Arial"/>
        </w:rPr>
        <w:t xml:space="preserve"> </w:t>
      </w:r>
      <w:r w:rsidRPr="00771E76">
        <w:rPr>
          <w:rFonts w:cs="Arial"/>
        </w:rPr>
        <w:t xml:space="preserve">Expliquer </w:t>
      </w:r>
      <w:r>
        <w:rPr>
          <w:rFonts w:cs="Arial"/>
        </w:rPr>
        <w:t xml:space="preserve">les raisons pour lesquelles </w:t>
      </w:r>
      <w:r w:rsidRPr="00771E76">
        <w:rPr>
          <w:rFonts w:cs="Arial"/>
        </w:rPr>
        <w:t xml:space="preserve">la structure génétique de la population n’est pas </w:t>
      </w:r>
      <w:r>
        <w:rPr>
          <w:rFonts w:cs="Arial"/>
        </w:rPr>
        <w:t>à l’équilibre de Hardy-Weinberg.</w:t>
      </w:r>
    </w:p>
    <w:p w:rsidR="00C10DAE" w:rsidRDefault="0007450E" w:rsidP="00C10DAE">
      <w:pPr>
        <w:rPr>
          <w:rFonts w:cs="Arial"/>
        </w:rPr>
      </w:pPr>
    </w:p>
    <w:p w:rsidR="003320A1" w:rsidRPr="00204949" w:rsidRDefault="0007450E" w:rsidP="00C10DAE">
      <w:pPr>
        <w:jc w:val="center"/>
      </w:pPr>
      <w:r>
        <w:br w:type="page"/>
      </w:r>
    </w:p>
    <w:p w:rsidR="00901C4E" w:rsidRPr="00A77456" w:rsidRDefault="0007450E" w:rsidP="00901C4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01C4E" w:rsidRPr="00A77456" w:rsidRDefault="0007450E" w:rsidP="00901C4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Le futur </w:t>
      </w:r>
      <w:r>
        <w:rPr>
          <w:rFonts w:eastAsia="Arial" w:cs="Arial"/>
          <w:i/>
        </w:rPr>
        <w:t>des énergies »</w:t>
      </w:r>
    </w:p>
    <w:p w:rsidR="00901C4E" w:rsidRPr="00D87AD1" w:rsidRDefault="0007450E" w:rsidP="00901C4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Éolienne, un choix d’avenir ?</w:t>
      </w:r>
    </w:p>
    <w:p w:rsidR="00E32F53" w:rsidRDefault="0007450E" w:rsidP="00D26EB3">
      <w:pPr>
        <w:spacing w:after="360"/>
      </w:pPr>
      <w:r w:rsidRPr="00D74F67">
        <w:rPr>
          <w:i/>
        </w:rPr>
        <w:t>Sur 10 points</w:t>
      </w:r>
    </w:p>
    <w:p w:rsidR="00F82FF7" w:rsidRPr="00F82FF7" w:rsidRDefault="0007450E" w:rsidP="00F82FF7">
      <w:pPr>
        <w:jc w:val="both"/>
        <w:rPr>
          <w:rFonts w:cs="Arial"/>
        </w:rPr>
      </w:pPr>
      <w:r w:rsidRPr="00F82FF7">
        <w:rPr>
          <w:rFonts w:cs="Arial"/>
        </w:rPr>
        <w:t>Le choix de la France pour produire son énergie électrique s’est tourné vers le nucléaire mais les impacts négatifs liés notamment au traitement des déchets radioactifs nous amènent à nous interrog</w:t>
      </w:r>
      <w:r w:rsidRPr="00F82FF7">
        <w:rPr>
          <w:rFonts w:cs="Arial"/>
        </w:rPr>
        <w:t>er sur nos futurs choix énergétiques, en particulier sur l’utilisation des énergies renouvelables comme l’éolien.</w:t>
      </w:r>
      <w:r>
        <w:rPr>
          <w:rFonts w:cs="Arial"/>
        </w:rPr>
        <w:t xml:space="preserve"> </w:t>
      </w:r>
    </w:p>
    <w:p w:rsidR="00FC5CC4" w:rsidRDefault="0007450E" w:rsidP="008674B0">
      <w:pPr>
        <w:spacing w:before="360" w:after="240"/>
        <w:jc w:val="both"/>
        <w:rPr>
          <w:b/>
        </w:rPr>
      </w:pPr>
      <w:r w:rsidRPr="00FC5CC4">
        <w:rPr>
          <w:b/>
        </w:rPr>
        <w:t>Partie A</w:t>
      </w:r>
      <w:r>
        <w:rPr>
          <w:b/>
        </w:rPr>
        <w:t> - La production d’énergie électrique française</w:t>
      </w:r>
    </w:p>
    <w:p w:rsidR="0096328E" w:rsidRPr="00F82FF7" w:rsidRDefault="0007450E" w:rsidP="002A7864">
      <w:pPr>
        <w:jc w:val="both"/>
        <w:rPr>
          <w:rStyle w:val="Lienhypertexte"/>
          <w:rFonts w:cs="Arial"/>
          <w:color w:val="auto"/>
          <w:u w:val="none"/>
        </w:rPr>
      </w:pPr>
      <w:r w:rsidRPr="00F82FF7">
        <w:rPr>
          <w:rFonts w:cs="Arial"/>
        </w:rPr>
        <w:t xml:space="preserve">En 2019, l’éolien a compté pour </w:t>
      </w:r>
      <w:hyperlink r:id="rId12" w:tgtFrame="_blank" w:tooltip="Bilan électrique de la France : que retenir de 2019 ?" w:history="1">
        <w:r w:rsidRPr="00F82FF7">
          <w:rPr>
            <w:rStyle w:val="Lienhypertexte"/>
            <w:rFonts w:cs="Arial"/>
            <w:color w:val="auto"/>
            <w:u w:val="none"/>
          </w:rPr>
          <w:t>6,3</w:t>
        </w:r>
        <w:r>
          <w:rPr>
            <w:rStyle w:val="Lienhypertexte"/>
            <w:rFonts w:cs="Arial"/>
            <w:color w:val="auto"/>
            <w:u w:val="none"/>
          </w:rPr>
          <w:t xml:space="preserve"> </w:t>
        </w:r>
        <w:r w:rsidRPr="00F82FF7">
          <w:rPr>
            <w:rStyle w:val="Lienhypertexte"/>
            <w:rFonts w:cs="Arial"/>
            <w:color w:val="auto"/>
            <w:u w:val="none"/>
          </w:rPr>
          <w:t xml:space="preserve">% de la production d’énergie électrique en France métropolitaine selon RTE (Réseau de </w:t>
        </w:r>
        <w:r w:rsidRPr="00F82FF7">
          <w:rPr>
            <w:rStyle w:val="Lienhypertexte"/>
            <w:rFonts w:cs="Arial"/>
            <w:color w:val="auto"/>
            <w:u w:val="none"/>
          </w:rPr>
          <w:t>Transport de l’Électricité), consolidant ainsi sa place de principale filière renouvelable après l’hydroélectricité</w:t>
        </w:r>
      </w:hyperlink>
      <w:r w:rsidRPr="00F82FF7">
        <w:rPr>
          <w:rFonts w:cs="Arial"/>
        </w:rPr>
        <w:t xml:space="preserve">. En 2019, </w:t>
      </w:r>
      <w:r w:rsidRPr="004A3B1B">
        <w:t>la puissance du parc éolien raccordé en France métropolitaine a augmenté de 9</w:t>
      </w:r>
      <w:r>
        <w:rPr>
          <w:rFonts w:cs="Arial"/>
        </w:rPr>
        <w:t xml:space="preserve"> </w:t>
      </w:r>
      <w:r w:rsidRPr="004A3B1B">
        <w:t>% par rapport à fin 2018.</w:t>
      </w:r>
    </w:p>
    <w:p w:rsidR="00FC5CC4" w:rsidRPr="00D27881" w:rsidRDefault="0007450E" w:rsidP="008674B0">
      <w:pPr>
        <w:spacing w:after="120"/>
        <w:jc w:val="both"/>
        <w:rPr>
          <w:rStyle w:val="Lienhypertexte"/>
          <w:rFonts w:cs="Arial"/>
          <w:b/>
          <w:bCs/>
          <w:color w:val="000000" w:themeColor="text1"/>
        </w:rPr>
      </w:pPr>
      <w:r w:rsidRPr="00D27881">
        <w:rPr>
          <w:rStyle w:val="Lienhypertexte"/>
          <w:rFonts w:cs="Arial"/>
          <w:b/>
          <w:bCs/>
          <w:color w:val="000000" w:themeColor="text1"/>
        </w:rPr>
        <w:t>Tableau 1 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 xml:space="preserve">: répartition 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>des sources d’énergie dans le cadre de la production nette d’énergie électrique en France en 2019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850"/>
        <w:gridCol w:w="851"/>
        <w:gridCol w:w="1275"/>
        <w:gridCol w:w="739"/>
        <w:gridCol w:w="1044"/>
        <w:gridCol w:w="1045"/>
      </w:tblGrid>
      <w:tr w:rsidR="00917E34" w:rsidRPr="000F11AC" w:rsidTr="000F11AC">
        <w:trPr>
          <w:cantSplit/>
          <w:trHeight w:val="602"/>
          <w:jc w:val="center"/>
        </w:trPr>
        <w:tc>
          <w:tcPr>
            <w:tcW w:w="704" w:type="dxa"/>
            <w:textDirection w:val="btLr"/>
            <w:vAlign w:val="center"/>
          </w:tcPr>
          <w:p w:rsidR="00FC5CC4" w:rsidRPr="000F11AC" w:rsidRDefault="0007450E" w:rsidP="00427639">
            <w:pPr>
              <w:spacing w:before="60" w:after="60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Nucléaire</w:t>
            </w:r>
          </w:p>
        </w:tc>
        <w:tc>
          <w:tcPr>
            <w:tcW w:w="1418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Hydraulique</w:t>
            </w:r>
          </w:p>
        </w:tc>
        <w:tc>
          <w:tcPr>
            <w:tcW w:w="850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Éolien</w:t>
            </w:r>
          </w:p>
        </w:tc>
        <w:tc>
          <w:tcPr>
            <w:tcW w:w="851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Solaire</w:t>
            </w:r>
          </w:p>
        </w:tc>
        <w:tc>
          <w:tcPr>
            <w:tcW w:w="1275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Bioénergie</w:t>
            </w:r>
          </w:p>
        </w:tc>
        <w:tc>
          <w:tcPr>
            <w:tcW w:w="739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Gaz</w:t>
            </w:r>
          </w:p>
        </w:tc>
        <w:tc>
          <w:tcPr>
            <w:tcW w:w="1044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Fioul</w:t>
            </w:r>
          </w:p>
        </w:tc>
        <w:tc>
          <w:tcPr>
            <w:tcW w:w="1045" w:type="dxa"/>
            <w:vAlign w:val="center"/>
          </w:tcPr>
          <w:p w:rsidR="00FC5CC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Charbon</w:t>
            </w:r>
          </w:p>
        </w:tc>
      </w:tr>
      <w:tr w:rsidR="00917E34" w:rsidRPr="000F11AC" w:rsidTr="000F11AC">
        <w:trPr>
          <w:jc w:val="center"/>
        </w:trPr>
        <w:tc>
          <w:tcPr>
            <w:tcW w:w="704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Part en %</w:t>
            </w:r>
          </w:p>
        </w:tc>
        <w:tc>
          <w:tcPr>
            <w:tcW w:w="1134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70,6</w:t>
            </w:r>
          </w:p>
        </w:tc>
        <w:tc>
          <w:tcPr>
            <w:tcW w:w="1418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851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275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1,8</w:t>
            </w:r>
          </w:p>
        </w:tc>
        <w:tc>
          <w:tcPr>
            <w:tcW w:w="739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1044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1045" w:type="dxa"/>
            <w:vAlign w:val="center"/>
          </w:tcPr>
          <w:p w:rsidR="00917E34" w:rsidRPr="000F11AC" w:rsidRDefault="0007450E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0,3</w:t>
            </w:r>
          </w:p>
        </w:tc>
      </w:tr>
    </w:tbl>
    <w:p w:rsidR="002A3EB4" w:rsidRPr="00D27881" w:rsidRDefault="0007450E" w:rsidP="00427639">
      <w:pPr>
        <w:spacing w:before="120" w:after="240"/>
        <w:jc w:val="right"/>
        <w:rPr>
          <w:rFonts w:cs="Arial"/>
          <w:i/>
          <w:sz w:val="21"/>
          <w:szCs w:val="21"/>
        </w:rPr>
      </w:pPr>
      <w:r w:rsidRPr="00D27881">
        <w:rPr>
          <w:rFonts w:cs="Arial"/>
          <w:i/>
          <w:sz w:val="21"/>
          <w:szCs w:val="21"/>
        </w:rPr>
        <w:t>Source</w:t>
      </w:r>
      <w:r>
        <w:rPr>
          <w:rFonts w:cs="Arial"/>
          <w:i/>
          <w:sz w:val="21"/>
          <w:szCs w:val="21"/>
        </w:rPr>
        <w:t> :</w:t>
      </w:r>
      <w:r w:rsidRPr="00D27881">
        <w:rPr>
          <w:rFonts w:cs="Arial"/>
          <w:i/>
          <w:sz w:val="21"/>
          <w:szCs w:val="21"/>
        </w:rPr>
        <w:t xml:space="preserve"> RTE</w:t>
      </w:r>
    </w:p>
    <w:p w:rsidR="002A3EB4" w:rsidRPr="002A3EB4" w:rsidRDefault="0007450E" w:rsidP="00D26EB3">
      <w:pPr>
        <w:spacing w:after="240"/>
        <w:jc w:val="both"/>
        <w:rPr>
          <w:rFonts w:cs="Arial"/>
        </w:rPr>
      </w:pPr>
      <w:r>
        <w:rPr>
          <w:rFonts w:cs="Arial"/>
          <w:b/>
        </w:rPr>
        <w:t>1-</w:t>
      </w:r>
      <w:r w:rsidRPr="002A3EB4">
        <w:rPr>
          <w:rFonts w:cs="Arial"/>
        </w:rPr>
        <w:t xml:space="preserve"> Définir les énergies fossiles et citer celles </w:t>
      </w:r>
      <w:r>
        <w:rPr>
          <w:rFonts w:cs="Arial"/>
        </w:rPr>
        <w:t xml:space="preserve">qui sont </w:t>
      </w:r>
      <w:r w:rsidRPr="002A3EB4">
        <w:rPr>
          <w:rFonts w:cs="Arial"/>
        </w:rPr>
        <w:t>présentes dans le tableau</w:t>
      </w:r>
      <w:r>
        <w:rPr>
          <w:rFonts w:cs="Arial"/>
        </w:rPr>
        <w:t xml:space="preserve"> 1</w:t>
      </w:r>
      <w:r w:rsidRPr="002A3EB4">
        <w:rPr>
          <w:rFonts w:cs="Arial"/>
        </w:rPr>
        <w:t>.</w:t>
      </w:r>
      <w:r>
        <w:rPr>
          <w:rFonts w:cs="Arial"/>
        </w:rPr>
        <w:t xml:space="preserve"> Calculer le pourcentage total qu’elles représentent dans la production électrique française.</w:t>
      </w:r>
    </w:p>
    <w:p w:rsidR="00A00B3E" w:rsidRDefault="0007450E" w:rsidP="001D4440">
      <w:pPr>
        <w:jc w:val="both"/>
      </w:pPr>
      <w:r>
        <w:rPr>
          <w:rFonts w:cs="Arial"/>
          <w:b/>
        </w:rPr>
        <w:t>2-</w:t>
      </w:r>
      <w:r w:rsidRPr="002A3EB4">
        <w:rPr>
          <w:rFonts w:cs="Arial"/>
        </w:rPr>
        <w:t xml:space="preserve"> Sachant que la production nette</w:t>
      </w:r>
      <w:r>
        <w:rPr>
          <w:rFonts w:cs="Arial"/>
        </w:rPr>
        <w:t xml:space="preserve"> d’énergie électrique</w:t>
      </w:r>
      <w:r w:rsidRPr="002A3EB4">
        <w:rPr>
          <w:rFonts w:cs="Arial"/>
        </w:rPr>
        <w:t xml:space="preserve"> en France métropolitai</w:t>
      </w:r>
      <w:r w:rsidRPr="002A3EB4">
        <w:rPr>
          <w:rFonts w:cs="Arial"/>
        </w:rPr>
        <w:t xml:space="preserve">ne </w:t>
      </w:r>
      <w:r>
        <w:rPr>
          <w:rFonts w:cs="Arial"/>
        </w:rPr>
        <w:t xml:space="preserve">en </w:t>
      </w:r>
      <w:r w:rsidRPr="002A3EB4">
        <w:rPr>
          <w:rFonts w:cs="Arial"/>
        </w:rPr>
        <w:t xml:space="preserve">2019 était de 537 700 GWh, calculer la production </w:t>
      </w:r>
      <w:r>
        <w:rPr>
          <w:rFonts w:cs="Arial"/>
        </w:rPr>
        <w:t>d’énergie électrique</w:t>
      </w:r>
      <w:r w:rsidRPr="002A3EB4">
        <w:rPr>
          <w:rFonts w:cs="Arial"/>
        </w:rPr>
        <w:t xml:space="preserve"> issue du nucléaire</w:t>
      </w:r>
      <w:r>
        <w:rPr>
          <w:rFonts w:cs="Arial"/>
        </w:rPr>
        <w:t>,</w:t>
      </w:r>
      <w:r w:rsidRPr="002A3EB4">
        <w:rPr>
          <w:rFonts w:cs="Arial"/>
        </w:rPr>
        <w:t xml:space="preserve"> </w:t>
      </w:r>
      <w:r>
        <w:rPr>
          <w:rFonts w:cs="Arial"/>
        </w:rPr>
        <w:t>puis celle issue</w:t>
      </w:r>
      <w:r w:rsidRPr="002A3EB4">
        <w:rPr>
          <w:rFonts w:cs="Arial"/>
        </w:rPr>
        <w:t xml:space="preserve"> de l’éolien en GWh. </w:t>
      </w:r>
    </w:p>
    <w:p w:rsidR="00537CCF" w:rsidRDefault="0007450E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537CCF" w:rsidRDefault="0007450E">
      <w:pPr>
        <w:spacing w:after="0" w:line="240" w:lineRule="auto"/>
        <w:rPr>
          <w:b/>
        </w:rPr>
      </w:pPr>
    </w:p>
    <w:p w:rsidR="002A3EB4" w:rsidRDefault="0007450E" w:rsidP="00537CCF">
      <w:pPr>
        <w:spacing w:after="240" w:line="240" w:lineRule="auto"/>
        <w:rPr>
          <w:b/>
        </w:rPr>
      </w:pPr>
      <w:r w:rsidRPr="00FC5CC4">
        <w:rPr>
          <w:b/>
        </w:rPr>
        <w:t xml:space="preserve">Partie </w:t>
      </w:r>
      <w:r>
        <w:rPr>
          <w:b/>
        </w:rPr>
        <w:t>B - Comparaison des énergies éolienne et nucléaire</w:t>
      </w:r>
    </w:p>
    <w:p w:rsidR="00D660BA" w:rsidRDefault="0007450E" w:rsidP="004A3B1B">
      <w:pPr>
        <w:spacing w:after="0" w:line="240" w:lineRule="auto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1038"/>
        <w:gridCol w:w="3996"/>
      </w:tblGrid>
      <w:tr w:rsidR="00A71005" w:rsidTr="0F244DAC">
        <w:tc>
          <w:tcPr>
            <w:tcW w:w="9060" w:type="dxa"/>
            <w:gridSpan w:val="3"/>
            <w:tcBorders>
              <w:bottom w:val="nil"/>
            </w:tcBorders>
          </w:tcPr>
          <w:p w:rsidR="00A71005" w:rsidRPr="00913553" w:rsidRDefault="0007450E" w:rsidP="004A05F5">
            <w:pPr>
              <w:spacing w:before="120" w:after="120"/>
              <w:rPr>
                <w:rFonts w:ascii="Times New Roman" w:hAnsi="Times New Roman"/>
                <w:noProof/>
              </w:rPr>
            </w:pPr>
            <w:r w:rsidRPr="004A3B1B">
              <w:rPr>
                <w:rFonts w:cs="Arial"/>
                <w:b/>
                <w:bCs/>
                <w:u w:val="single"/>
              </w:rPr>
              <w:t>Document 2</w:t>
            </w:r>
            <w:r w:rsidRPr="004A3B1B">
              <w:rPr>
                <w:rFonts w:cs="Arial"/>
                <w:b/>
                <w:bCs/>
              </w:rPr>
              <w:t xml:space="preserve"> : </w:t>
            </w:r>
            <w:r>
              <w:rPr>
                <w:rFonts w:cs="Arial"/>
                <w:b/>
                <w:bCs/>
              </w:rPr>
              <w:t>énergies éolienne et nucléaire en France</w:t>
            </w:r>
          </w:p>
        </w:tc>
      </w:tr>
      <w:tr w:rsidR="00CE51F6" w:rsidTr="00894376"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:rsidR="00B63F27" w:rsidRDefault="0007450E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 xml:space="preserve">La </w:t>
            </w:r>
            <w:r w:rsidRPr="0F244DAC">
              <w:rPr>
                <w:rFonts w:cs="Arial"/>
              </w:rPr>
              <w:t>Normandie se situe à la 7</w:t>
            </w:r>
            <w:r w:rsidRPr="0F244DAC">
              <w:rPr>
                <w:rFonts w:cs="Arial"/>
                <w:vertAlign w:val="superscript"/>
              </w:rPr>
              <w:t>ème</w:t>
            </w:r>
            <w:r w:rsidRPr="0F244DAC">
              <w:rPr>
                <w:rFonts w:cs="Arial"/>
              </w:rPr>
              <w:t xml:space="preserve"> position des régions métropolitaine</w:t>
            </w:r>
            <w:r>
              <w:rPr>
                <w:rFonts w:cs="Arial"/>
              </w:rPr>
              <w:t>s en termes d’éolien terrestre.</w:t>
            </w:r>
          </w:p>
          <w:p w:rsidR="00CE51F6" w:rsidRPr="00CE51F6" w:rsidRDefault="0007450E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puissance moyenne d’une éolie</w:t>
            </w:r>
            <w:r>
              <w:rPr>
                <w:rFonts w:cs="Arial"/>
              </w:rPr>
              <w:t>nne terrestre en France est de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éolienne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=3,0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 w:rsidRPr="00CE51F6">
              <w:rPr>
                <w:rFonts w:eastAsiaTheme="minorEastAsia" w:cs="Arial"/>
              </w:rPr>
              <w:t xml:space="preserve">. L’électricité produite à partir d’une éolienne est intermittente. </w:t>
            </w:r>
            <w:r>
              <w:rPr>
                <w:rFonts w:eastAsiaTheme="minorEastAsia" w:cs="Arial"/>
              </w:rPr>
              <w:t xml:space="preserve">La </w:t>
            </w:r>
            <w:r>
              <w:rPr>
                <w:rFonts w:eastAsiaTheme="minorEastAsia" w:cs="Arial"/>
              </w:rPr>
              <w:t>disponibilité annuelle est de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2000 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>h</m:t>
              </m:r>
            </m:oMath>
            <w:r w:rsidRPr="00CE51F6">
              <w:rPr>
                <w:rFonts w:eastAsiaTheme="minorEastAsia" w:cs="Arial"/>
              </w:rPr>
              <w:t xml:space="preserve">. Les éoliennes </w:t>
            </w:r>
            <w:r>
              <w:rPr>
                <w:rFonts w:eastAsiaTheme="minorEastAsia" w:cs="Arial"/>
              </w:rPr>
              <w:t>sont souvent décriées pour leur</w:t>
            </w:r>
            <w:r w:rsidRPr="00CE51F6">
              <w:rPr>
                <w:rFonts w:eastAsiaTheme="minorEastAsia" w:cs="Arial"/>
              </w:rPr>
              <w:t xml:space="preserve"> impact sur le paysage et sur la faune.</w:t>
            </w:r>
          </w:p>
          <w:p w:rsidR="00CE51F6" w:rsidRDefault="0007450E" w:rsidP="00BF1985">
            <w:pPr>
              <w:spacing w:after="0"/>
              <w:jc w:val="both"/>
              <w:rPr>
                <w:b/>
              </w:rPr>
            </w:pPr>
            <w:r w:rsidRPr="00CE51F6">
              <w:rPr>
                <w:rFonts w:cs="Arial"/>
              </w:rPr>
              <w:t xml:space="preserve">Il suffit d’un peu moins de deux </w:t>
            </w:r>
            <w:r>
              <w:rPr>
                <w:rFonts w:cs="Arial"/>
              </w:rPr>
              <w:t xml:space="preserve">ans </w:t>
            </w:r>
            <w:r w:rsidRPr="00CE51F6">
              <w:rPr>
                <w:rFonts w:cs="Arial"/>
              </w:rPr>
              <w:t xml:space="preserve">pour construire et raccorder une éolienne. Le coût d’une éolienne ayant une puissance de </w:t>
            </w:r>
            <m:oMath>
              <m:r>
                <w:rPr>
                  <w:rFonts w:ascii="Cambria Math" w:hAnsi="Cambria Math" w:cs="Arial"/>
                </w:rPr>
                <m:t xml:space="preserve">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est de 3</w:t>
            </w:r>
            <w:r w:rsidRPr="00CE51F6">
              <w:rPr>
                <w:rFonts w:cs="Arial"/>
              </w:rPr>
              <w:t xml:space="preserve"> million</w:t>
            </w:r>
            <w:r>
              <w:rPr>
                <w:rFonts w:cs="Arial"/>
              </w:rPr>
              <w:t>s</w:t>
            </w:r>
            <w:r w:rsidRPr="00CE51F6">
              <w:rPr>
                <w:rFonts w:cs="Arial"/>
              </w:rPr>
              <w:t xml:space="preserve"> d’euros.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</w:tcBorders>
            <w:vAlign w:val="center"/>
          </w:tcPr>
          <w:p w:rsidR="00D660BA" w:rsidRPr="00D27881" w:rsidRDefault="0007450E" w:rsidP="00B63F27">
            <w:pPr>
              <w:spacing w:before="120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-2211705</wp:posOffset>
                  </wp:positionV>
                  <wp:extent cx="2394585" cy="1590675"/>
                  <wp:effectExtent l="0" t="0" r="5715" b="0"/>
                  <wp:wrapTopAndBottom/>
                  <wp:docPr id="3" name="Image 7" descr="Plus de 300 images de Parc Éolien et de Éolienne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58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7881">
              <w:rPr>
                <w:b/>
                <w:sz w:val="22"/>
                <w:szCs w:val="22"/>
              </w:rPr>
              <w:t>Éolienne</w:t>
            </w:r>
          </w:p>
        </w:tc>
      </w:tr>
      <w:tr w:rsidR="002A3EB4" w:rsidTr="00894376">
        <w:tc>
          <w:tcPr>
            <w:tcW w:w="3823" w:type="dxa"/>
            <w:tcBorders>
              <w:top w:val="nil"/>
              <w:right w:val="nil"/>
            </w:tcBorders>
            <w:vAlign w:val="center"/>
          </w:tcPr>
          <w:p w:rsidR="00CE51F6" w:rsidRPr="00A1369C" w:rsidRDefault="0007450E" w:rsidP="00CE51F6">
            <w:pPr>
              <w:jc w:val="center"/>
              <w:rPr>
                <w:sz w:val="16"/>
                <w:szCs w:val="16"/>
              </w:rPr>
            </w:pPr>
            <w:r w:rsidRPr="00A1369C">
              <w:rPr>
                <w:noProof/>
                <w:sz w:val="16"/>
                <w:szCs w:val="16"/>
              </w:rPr>
              <w:object w:dxaOrig="7470" w:dyaOrig="5235" w14:anchorId="5E356D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90.5pt;height:134.25pt;mso-width-percent:0;mso-height-percent:0;mso-width-percent:0;mso-height-percent:0" o:ole="">
                  <v:imagedata r:id="rId14" o:title=""/>
                </v:shape>
                <o:OLEObject Type="Embed" ProgID="PBrush" ShapeID="_x0000_i1025" DrawAspect="Content" ObjectID="_1741547824" r:id="rId15"/>
              </w:object>
            </w:r>
          </w:p>
          <w:p w:rsidR="00D660BA" w:rsidRPr="00D27881" w:rsidRDefault="0007450E" w:rsidP="00AE66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27881">
              <w:rPr>
                <w:b/>
                <w:bCs/>
                <w:iCs/>
                <w:sz w:val="22"/>
                <w:szCs w:val="22"/>
              </w:rPr>
              <w:t>Réacteur EPR</w:t>
            </w:r>
          </w:p>
          <w:p w:rsidR="002A3EB4" w:rsidRPr="00913553" w:rsidRDefault="0007450E" w:rsidP="00AE66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37" w:type="dxa"/>
            <w:gridSpan w:val="2"/>
            <w:tcBorders>
              <w:top w:val="nil"/>
              <w:left w:val="nil"/>
            </w:tcBorders>
          </w:tcPr>
          <w:p w:rsidR="00CE51F6" w:rsidRDefault="0007450E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Premier réacteur EPR (</w:t>
            </w:r>
            <w:r w:rsidRPr="00CE51F6">
              <w:rPr>
                <w:rFonts w:cs="Arial"/>
                <w:i/>
              </w:rPr>
              <w:t xml:space="preserve">European Pressurized water Reaction </w:t>
            </w:r>
            <w:r w:rsidRPr="00CE51F6">
              <w:rPr>
                <w:rFonts w:cs="Arial"/>
              </w:rPr>
              <w:t xml:space="preserve">) français de génération 3, Flamanville 3, situé en Normandie, s’inscrit dans le programme de renouvellement du parc nucléaire français en prévention du démantèlement progressif des premières installations. </w:t>
            </w:r>
          </w:p>
          <w:p w:rsidR="002A3EB4" w:rsidRPr="00CE51F6" w:rsidRDefault="0007450E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Il délivrera une puissance électrique</w:t>
            </w:r>
            <w:r>
              <w:rPr>
                <w:rFonts w:cs="Arial"/>
              </w:rPr>
              <w:t>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</w:rPr>
                    <m:t>EPR</m:t>
                  </m:r>
                </m:sub>
              </m:sSub>
              <m:r>
                <w:rPr>
                  <w:rFonts w:ascii="Cambria Math" w:hAnsi="Cambria Math" w:cs="Arial"/>
                </w:rPr>
                <m:t>=1</m:t>
              </m:r>
              <m:r>
                <w:rPr>
                  <w:rFonts w:ascii="Cambria Math" w:hAnsi="Cambria Math" w:cs="Arial"/>
                </w:rPr>
                <m:t xml:space="preserve">,6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GW</m:t>
              </m:r>
            </m:oMath>
            <w:r w:rsidRPr="00CE51F6">
              <w:rPr>
                <w:rFonts w:cs="Arial"/>
              </w:rPr>
              <w:t xml:space="preserve"> avec </w:t>
            </w:r>
            <w:r>
              <w:rPr>
                <w:rFonts w:cs="Arial"/>
              </w:rPr>
              <w:t>une disponibilité annuelle de</w:t>
            </w:r>
            <m:oMath>
              <m:r>
                <w:rPr>
                  <w:rFonts w:ascii="Cambria Math" w:hAnsi="Cambria Math" w:cs="Arial"/>
                </w:rPr>
                <m:t xml:space="preserve"> 6 500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cs="Arial"/>
              </w:rPr>
              <w:t>.</w:t>
            </w:r>
          </w:p>
          <w:p w:rsidR="002A3EB4" w:rsidRPr="00F87E87" w:rsidRDefault="0007450E" w:rsidP="00BF1985">
            <w:pPr>
              <w:spacing w:after="120"/>
              <w:ind w:left="47"/>
              <w:jc w:val="both"/>
              <w:rPr>
                <w:rFonts w:ascii="Times New Roman" w:hAnsi="Times New Roman"/>
              </w:rPr>
            </w:pPr>
            <w:r w:rsidRPr="00CE51F6">
              <w:rPr>
                <w:rFonts w:cs="Arial"/>
              </w:rPr>
              <w:t xml:space="preserve">La réalisation de </w:t>
            </w:r>
            <w:r>
              <w:rPr>
                <w:rFonts w:cs="Arial"/>
              </w:rPr>
              <w:t>l’EPR a commencé en 2007 et devrait</w:t>
            </w:r>
            <w:r w:rsidRPr="00CE51F6">
              <w:rPr>
                <w:rFonts w:cs="Arial"/>
              </w:rPr>
              <w:t xml:space="preserve"> s’achever en 2021. Le coût </w:t>
            </w:r>
            <w:r>
              <w:rPr>
                <w:rFonts w:cs="Arial"/>
              </w:rPr>
              <w:t>est de l’ordre de 19,1 milliards d’euros contre les 3,3 milliards annoncés en 2 006.</w:t>
            </w:r>
          </w:p>
        </w:tc>
      </w:tr>
    </w:tbl>
    <w:p w:rsidR="00537CCF" w:rsidRDefault="0007450E" w:rsidP="00D27881">
      <w:pPr>
        <w:spacing w:after="0"/>
        <w:rPr>
          <w:rFonts w:cs="Arial"/>
        </w:rPr>
      </w:pPr>
    </w:p>
    <w:p w:rsidR="00537CCF" w:rsidRDefault="0007450E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CE51F6" w:rsidRPr="00537CCF" w:rsidRDefault="0007450E" w:rsidP="00537CCF">
      <w:pPr>
        <w:spacing w:after="240"/>
        <w:jc w:val="both"/>
        <w:rPr>
          <w:rFonts w:cs="Arial"/>
          <w:bdr w:val="single" w:sz="4" w:space="0" w:color="auto"/>
        </w:rPr>
      </w:pPr>
      <w:r w:rsidRPr="6B1B7D00">
        <w:rPr>
          <w:rFonts w:cs="Arial"/>
        </w:rPr>
        <w:lastRenderedPageBreak/>
        <w:t>L’énergie électrique obtenue en watt</w:t>
      </w:r>
      <w:r w:rsidRPr="6B1B7D00">
        <w:rPr>
          <w:rFonts w:cs="Arial"/>
        </w:rPr>
        <w:t xml:space="preserve"> heure (Wh) pendant une certaine durée se calcule par la formule </w:t>
      </w:r>
      <m:oMath>
        <m:r>
          <w:rPr>
            <w:rFonts w:ascii="Cambria Math" w:hAnsi="Cambria Math" w:cs="Arial"/>
            <w:sz w:val="28"/>
          </w:rPr>
          <m:t>E</m:t>
        </m:r>
        <m:r>
          <w:rPr>
            <w:rFonts w:ascii="Cambria Math" w:hAnsi="Cambria Math" w:cs="Arial"/>
            <w:sz w:val="28"/>
          </w:rPr>
          <m:t>=</m:t>
        </m:r>
        <m:r>
          <w:rPr>
            <w:rFonts w:ascii="Cambria Math" w:hAnsi="Cambria Math" w:cs="Arial"/>
            <w:sz w:val="28"/>
          </w:rPr>
          <m:t>P</m:t>
        </m:r>
        <m:r>
          <w:rPr>
            <w:rFonts w:ascii="Cambria Math" w:hAnsi="Cambria Math" w:cs="Arial"/>
            <w:sz w:val="28"/>
          </w:rPr>
          <m:t>×</m:t>
        </m:r>
        <m:r>
          <m:rPr>
            <m:sty m:val="p"/>
          </m:rP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o</w:t>
      </w:r>
      <w:r w:rsidRPr="00CE51F6">
        <w:rPr>
          <w:rFonts w:eastAsiaTheme="minorEastAsia" w:cs="Arial"/>
        </w:rPr>
        <w:t>ù</w:t>
      </w:r>
      <w:r w:rsidRPr="00537CCF">
        <w:rPr>
          <w:rFonts w:eastAsiaTheme="minorEastAsia" w:cs="Arial"/>
          <w:sz w:val="28"/>
        </w:rPr>
        <w:t xml:space="preserve"> </w:t>
      </w:r>
      <m:oMath>
        <m:r>
          <w:rPr>
            <w:rFonts w:ascii="Cambria Math" w:eastAsiaTheme="minorEastAsia" w:hAnsi="Cambria Math" w:cs="Arial"/>
            <w:sz w:val="28"/>
          </w:rPr>
          <m:t>P</m:t>
        </m:r>
      </m:oMath>
      <w:r w:rsidRPr="00537CCF">
        <w:rPr>
          <w:rFonts w:eastAsiaTheme="minorEastAsia" w:cs="Arial"/>
          <w:sz w:val="28"/>
        </w:rPr>
        <w:t xml:space="preserve"> </w:t>
      </w:r>
      <w:r>
        <w:rPr>
          <w:rFonts w:eastAsiaTheme="minorEastAsia" w:cs="Arial"/>
        </w:rPr>
        <w:t>est la puissance en w</w:t>
      </w:r>
      <w:r w:rsidRPr="00CE51F6">
        <w:rPr>
          <w:rFonts w:eastAsiaTheme="minorEastAsia" w:cs="Arial"/>
        </w:rPr>
        <w:t>att</w:t>
      </w:r>
      <w:r>
        <w:rPr>
          <w:rFonts w:eastAsiaTheme="minorEastAsia" w:cs="Arial"/>
        </w:rPr>
        <w:t>s</w:t>
      </w:r>
      <w:r>
        <w:rPr>
          <w:rFonts w:eastAsiaTheme="minorEastAsia" w:cs="Arial"/>
          <w:i/>
        </w:rPr>
        <w:t xml:space="preserve"> </w:t>
      </w:r>
      <w:r w:rsidRPr="00E323E0">
        <w:rPr>
          <w:rFonts w:eastAsiaTheme="minorEastAsia" w:cs="Arial"/>
          <w:iCs/>
        </w:rPr>
        <w:t>(W)</w:t>
      </w:r>
      <w:r w:rsidRPr="00CE51F6">
        <w:rPr>
          <w:rFonts w:eastAsiaTheme="minorEastAsia" w:cs="Arial"/>
        </w:rPr>
        <w:t xml:space="preserve"> et </w:t>
      </w:r>
      <m:oMath>
        <m: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la durée en heures (</w:t>
      </w:r>
      <w:r w:rsidRPr="00E323E0">
        <w:rPr>
          <w:rFonts w:eastAsiaTheme="minorEastAsia" w:cs="Arial"/>
          <w:iCs/>
        </w:rPr>
        <w:t>h</w:t>
      </w:r>
      <w:r>
        <w:rPr>
          <w:rFonts w:eastAsiaTheme="minorEastAsia" w:cs="Arial"/>
        </w:rPr>
        <w:t>)</w:t>
      </w:r>
      <w:r w:rsidRPr="00CE51F6">
        <w:rPr>
          <w:rFonts w:eastAsiaTheme="minorEastAsia" w:cs="Arial"/>
        </w:rPr>
        <w:t>.</w:t>
      </w:r>
    </w:p>
    <w:p w:rsidR="00AE6659" w:rsidRDefault="0007450E" w:rsidP="00B65B77">
      <w:pPr>
        <w:spacing w:after="360"/>
        <w:jc w:val="both"/>
        <w:rPr>
          <w:rFonts w:eastAsiaTheme="minorEastAsia" w:cs="Arial"/>
        </w:rPr>
      </w:pPr>
      <w:r>
        <w:rPr>
          <w:rFonts w:cs="Arial"/>
          <w:b/>
        </w:rPr>
        <w:t xml:space="preserve">3- </w:t>
      </w:r>
      <w:r>
        <w:rPr>
          <w:rFonts w:cs="Arial"/>
        </w:rPr>
        <w:t>En vous aidant des documents précédents, c</w:t>
      </w:r>
      <w:r w:rsidRPr="00AE6659">
        <w:rPr>
          <w:rFonts w:eastAsiaTheme="minorEastAsia" w:cs="Arial"/>
        </w:rPr>
        <w:t xml:space="preserve">alculer </w:t>
      </w:r>
      <w:r>
        <w:rPr>
          <w:rFonts w:eastAsiaTheme="minorEastAsia" w:cs="Arial"/>
        </w:rPr>
        <w:t>le nombre</w:t>
      </w:r>
      <w:r w:rsidRPr="00AE6659">
        <w:rPr>
          <w:rFonts w:eastAsiaTheme="minorEastAsia" w:cs="Arial"/>
        </w:rPr>
        <w:t xml:space="preserve"> d’éoliennes nécessaires pour obtenir une quantité d’énergie électrique équivalente à celle du réacteur EPR.</w:t>
      </w:r>
    </w:p>
    <w:p w:rsidR="00AB3200" w:rsidRDefault="0007450E" w:rsidP="002C2ED4">
      <w:pPr>
        <w:spacing w:after="360" w:line="240" w:lineRule="auto"/>
        <w:jc w:val="both"/>
      </w:pPr>
      <w:r w:rsidRPr="004A3B1B">
        <w:rPr>
          <w:rFonts w:eastAsiaTheme="minorEastAsia" w:cs="Arial"/>
        </w:rPr>
        <w:t>Le document 3</w:t>
      </w:r>
      <w:r>
        <w:t xml:space="preserve"> met en évidence les principales causes de mortalité des oiseaux aux États-Unis. Elle est transposable à la France.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5B77" w:rsidRPr="00B65B77" w:rsidTr="00A84C02">
        <w:trPr>
          <w:trHeight w:val="6171"/>
        </w:trPr>
        <w:tc>
          <w:tcPr>
            <w:tcW w:w="9060" w:type="dxa"/>
          </w:tcPr>
          <w:p w:rsidR="00B65B77" w:rsidRPr="00B65B77" w:rsidRDefault="0007450E" w:rsidP="00B65B77">
            <w:pPr>
              <w:spacing w:before="120" w:after="120" w:line="240" w:lineRule="auto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b/>
                <w:bCs/>
                <w:u w:val="single"/>
              </w:rPr>
              <w:t>Document 3</w:t>
            </w:r>
            <w:r w:rsidRPr="00B65B77">
              <w:rPr>
                <w:b/>
                <w:bCs/>
              </w:rPr>
              <w:t> : cause</w:t>
            </w:r>
            <w:r w:rsidRPr="00B65B77">
              <w:rPr>
                <w:b/>
                <w:bCs/>
              </w:rPr>
              <w:t>s de mortalité des oiseaux</w:t>
            </w:r>
          </w:p>
          <w:p w:rsidR="00B65B77" w:rsidRPr="00B65B77" w:rsidRDefault="0007450E" w:rsidP="00B65B77">
            <w:pPr>
              <w:spacing w:before="120" w:after="120" w:line="240" w:lineRule="auto"/>
              <w:jc w:val="center"/>
            </w:pPr>
            <w:r w:rsidRPr="00B65B77">
              <w:rPr>
                <w:noProof/>
              </w:rPr>
              <w:drawing>
                <wp:inline distT="0" distB="0" distL="0" distR="0" wp14:anchorId="7B159986" wp14:editId="06AFA3BE">
                  <wp:extent cx="1000125" cy="276225"/>
                  <wp:effectExtent l="0" t="0" r="9525" b="9525"/>
                  <wp:docPr id="4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07450E" w:rsidP="00B65B77">
            <w:pPr>
              <w:spacing w:before="120" w:after="120" w:line="240" w:lineRule="auto"/>
            </w:pPr>
            <w:r w:rsidRPr="00B65B77">
              <w:rPr>
                <w:noProof/>
              </w:rPr>
              <w:drawing>
                <wp:inline distT="0" distB="0" distL="0" distR="0" wp14:anchorId="1B295F75" wp14:editId="1D3FBE28">
                  <wp:extent cx="5640705" cy="3277870"/>
                  <wp:effectExtent l="0" t="0" r="0" b="0"/>
                  <wp:docPr id="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8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705" cy="327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07450E" w:rsidP="002C2ED4">
            <w:pPr>
              <w:spacing w:before="120" w:after="120" w:line="240" w:lineRule="auto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i/>
                <w:sz w:val="22"/>
                <w:szCs w:val="22"/>
              </w:rPr>
              <w:t>Source : consoglob</w:t>
            </w:r>
          </w:p>
        </w:tc>
      </w:tr>
    </w:tbl>
    <w:p w:rsidR="00204EB1" w:rsidRDefault="0007450E" w:rsidP="0096328E">
      <w:pPr>
        <w:jc w:val="both"/>
        <w:rPr>
          <w:rFonts w:eastAsiaTheme="minorEastAsia" w:cs="Arial"/>
          <w:b/>
        </w:rPr>
      </w:pPr>
    </w:p>
    <w:p w:rsidR="00D27881" w:rsidRPr="0096328E" w:rsidRDefault="0007450E" w:rsidP="002C2ED4">
      <w:pPr>
        <w:jc w:val="both"/>
        <w:rPr>
          <w:rFonts w:eastAsiaTheme="minorEastAsia" w:cs="Arial"/>
        </w:rPr>
      </w:pPr>
      <w:r w:rsidRPr="6B1B7D00">
        <w:rPr>
          <w:rFonts w:eastAsiaTheme="minorEastAsia" w:cs="Arial"/>
          <w:b/>
          <w:bCs/>
        </w:rPr>
        <w:t>4-</w:t>
      </w:r>
      <w:r w:rsidRPr="6B1B7D00">
        <w:rPr>
          <w:rFonts w:eastAsiaTheme="minorEastAsia" w:cs="Arial"/>
        </w:rPr>
        <w:t xml:space="preserve"> À l’aide de l’ensemble des documents et de vos connaissances, comparer les modes de production d’énergie électrique de source éolienne et nucléaire. Un paragraphe argumenté de quinze à vingt lignes env</w:t>
      </w:r>
      <w:r w:rsidRPr="6B1B7D00">
        <w:rPr>
          <w:rFonts w:eastAsiaTheme="minorEastAsia" w:cs="Arial"/>
        </w:rPr>
        <w:t>iron est demandé.</w:t>
      </w:r>
    </w:p>
    <w:sectPr w:rsidR="00D27881" w:rsidRPr="0096328E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7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450E" w:rsidRPr="0007450E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450E" w:rsidRPr="0007450E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450E" w:rsidRPr="0007450E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450E" w:rsidRPr="0007450E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8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7450E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styleId="Sansinterligne">
    <w:name w:val="No Spacing"/>
    <w:uiPriority w:val="1"/>
    <w:qFormat/>
    <w:rsid w:val="00C7766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FC5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connaissancedesenergies.org/la-production-delectricite-en-france-metropolitaine-tous-les-chiffres-cles-de-2019-200212-0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oleObject" Target="embeddings/oleObject1.bin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1228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