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0659B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659B4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0659B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0659B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659B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0659B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0659B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0659B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659B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0659B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0659B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0659B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0659B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659B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0659B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0659B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0659B4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0659B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0659B4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0659B4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960E9D" w:rsidRPr="00A77456" w:rsidRDefault="000659B4" w:rsidP="00960E9D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60E9D" w:rsidRPr="00A77456" w:rsidRDefault="000659B4" w:rsidP="00960E9D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960E9D" w:rsidRPr="00D87AD1" w:rsidRDefault="000659B4" w:rsidP="00960E9D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L’Arctique, espace fragile et convoité</w:t>
      </w:r>
    </w:p>
    <w:p w:rsidR="00960E9D" w:rsidRPr="000E2C8B" w:rsidRDefault="000659B4" w:rsidP="00960E9D">
      <w:pPr>
        <w:spacing w:after="240"/>
        <w:rPr>
          <w:i/>
        </w:rPr>
      </w:pPr>
      <w:r w:rsidRPr="00D74F67">
        <w:rPr>
          <w:i/>
        </w:rPr>
        <w:t>Sur 10 points</w:t>
      </w:r>
    </w:p>
    <w:p w:rsidR="00C64D11" w:rsidRPr="002C501F" w:rsidRDefault="000659B4" w:rsidP="006637FE">
      <w:pPr>
        <w:spacing w:after="120" w:line="257" w:lineRule="auto"/>
        <w:jc w:val="both"/>
        <w:rPr>
          <w:rFonts w:cs="Arial"/>
        </w:rPr>
      </w:pPr>
      <w:r w:rsidRPr="002C501F">
        <w:rPr>
          <w:rFonts w:cs="Arial"/>
          <w:noProof/>
        </w:rPr>
        <w:drawing>
          <wp:anchor distT="107950" distB="107950" distL="180340" distR="114300" simplePos="0" relativeHeight="251655168" behindDoc="0" locked="0" layoutInCell="1" allowOverlap="1" wp14:anchorId="11490A9E" wp14:editId="7FC3BE78">
            <wp:simplePos x="0" y="0"/>
            <wp:positionH relativeFrom="margin">
              <wp:posOffset>2934970</wp:posOffset>
            </wp:positionH>
            <wp:positionV relativeFrom="paragraph">
              <wp:posOffset>247015</wp:posOffset>
            </wp:positionV>
            <wp:extent cx="2762885" cy="3038475"/>
            <wp:effectExtent l="0" t="0" r="0" b="9525"/>
            <wp:wrapSquare wrapText="bothSides"/>
            <wp:docPr id="1" name="Image 7" descr="Une image contenant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7" descr="Une image contenant cart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98D8AD9">
        <w:rPr>
          <w:rFonts w:cs="Arial"/>
        </w:rPr>
        <w:t xml:space="preserve">L’océan Arctique s'étend sur </w:t>
      </w:r>
      <w:r w:rsidRPr="198D8AD9">
        <w:rPr>
          <w:rFonts w:cs="Arial"/>
        </w:rPr>
        <w:t>une surface d'environ 14 millions de k</w:t>
      </w:r>
      <w:r w:rsidRPr="198D8AD9">
        <w:rPr>
          <w:rFonts w:eastAsia="Arial" w:cs="Arial"/>
        </w:rPr>
        <w:t>m</w:t>
      </w:r>
      <w:r w:rsidRPr="198D8AD9">
        <w:rPr>
          <w:rFonts w:eastAsia="Arial" w:cs="Arial"/>
          <w:vertAlign w:val="superscript"/>
        </w:rPr>
        <w:t>2</w:t>
      </w:r>
      <w:r w:rsidRPr="198D8AD9">
        <w:rPr>
          <w:rFonts w:cs="Arial"/>
        </w:rPr>
        <w:t xml:space="preserve">, ce qui en fait le plus petit océan. Il est recouvert en grande partie par la banquise arctique (appelée également glace de mer) qui présente des variations saisonnières. </w:t>
      </w:r>
    </w:p>
    <w:p w:rsidR="00C64D11" w:rsidRPr="002C501F" w:rsidRDefault="000659B4" w:rsidP="006637FE">
      <w:pPr>
        <w:spacing w:after="120" w:line="257" w:lineRule="auto"/>
        <w:jc w:val="both"/>
        <w:rPr>
          <w:rFonts w:cs="Arial"/>
        </w:rPr>
      </w:pPr>
      <w:r w:rsidRPr="198D8AD9">
        <w:rPr>
          <w:rFonts w:cs="Arial"/>
        </w:rPr>
        <w:t>La surface et l’albédo de cette glace de mer tendent à se réduire en raison du réchauffement climatique. La fonte estivale de cette banquise rend de plus en plus praticable « le passage maritime du Nord-Ouest », qui relie l’océan Atlantique à l’océan Pacif</w:t>
      </w:r>
      <w:r w:rsidRPr="198D8AD9">
        <w:rPr>
          <w:rFonts w:cs="Arial"/>
        </w:rPr>
        <w:t>ique en passant entre les îles du Grand Nord canadien. Outre les perspectives de route commerciale, ce passage ouvre des appétits de prospections des ressources (réserves d’hydrocarbures) et donne lieu à des controverses sur son statut.</w:t>
      </w:r>
      <w:r>
        <w:rPr>
          <w:rFonts w:cs="Arial"/>
        </w:rPr>
        <w:t xml:space="preserve"> </w:t>
      </w:r>
      <w:r w:rsidRPr="198D8AD9">
        <w:rPr>
          <w:rFonts w:cs="Arial"/>
        </w:rPr>
        <w:t xml:space="preserve"> </w:t>
      </w:r>
    </w:p>
    <w:p w:rsidR="003A052D" w:rsidRDefault="000659B4" w:rsidP="003A052D">
      <w:pPr>
        <w:spacing w:after="240"/>
        <w:ind w:left="709"/>
        <w:jc w:val="right"/>
        <w:rPr>
          <w:rFonts w:cs="Arial"/>
          <w:i/>
          <w:iCs/>
          <w:sz w:val="22"/>
        </w:rPr>
      </w:pPr>
      <w:r w:rsidRPr="006637FE">
        <w:rPr>
          <w:rFonts w:cs="Arial"/>
          <w:i/>
          <w:iCs/>
          <w:sz w:val="22"/>
        </w:rPr>
        <w:t>D’après Collectio</w:t>
      </w:r>
      <w:r w:rsidRPr="006637FE">
        <w:rPr>
          <w:rFonts w:cs="Arial"/>
          <w:i/>
          <w:iCs/>
          <w:sz w:val="22"/>
        </w:rPr>
        <w:t>n Grand Atlas – Courrier international</w:t>
      </w:r>
    </w:p>
    <w:p w:rsidR="003A052D" w:rsidRPr="003A052D" w:rsidRDefault="000659B4" w:rsidP="003A052D">
      <w:pPr>
        <w:pStyle w:val="zeta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3A052D">
        <w:rPr>
          <w:rFonts w:ascii="Arial" w:hAnsi="Arial" w:cs="Arial"/>
          <w:bCs/>
        </w:rPr>
        <w:t xml:space="preserve">À l’aide des informations apportées par les </w:t>
      </w:r>
      <w:r>
        <w:rPr>
          <w:rFonts w:ascii="Arial" w:hAnsi="Arial" w:cs="Arial"/>
          <w:bCs/>
        </w:rPr>
        <w:t xml:space="preserve">quatre </w:t>
      </w:r>
      <w:r w:rsidRPr="003A052D">
        <w:rPr>
          <w:rFonts w:ascii="Arial" w:hAnsi="Arial" w:cs="Arial"/>
          <w:bCs/>
        </w:rPr>
        <w:t xml:space="preserve">documents </w:t>
      </w:r>
      <w:r>
        <w:rPr>
          <w:rFonts w:ascii="Arial" w:hAnsi="Arial" w:cs="Arial"/>
          <w:bCs/>
        </w:rPr>
        <w:t xml:space="preserve">placés en fin d’exercice </w:t>
      </w:r>
      <w:r w:rsidRPr="003A052D">
        <w:rPr>
          <w:rFonts w:ascii="Arial" w:hAnsi="Arial" w:cs="Arial"/>
          <w:bCs/>
        </w:rPr>
        <w:t xml:space="preserve">et de vos connaissances, répondre aux </w:t>
      </w:r>
      <w:r>
        <w:rPr>
          <w:rFonts w:ascii="Arial" w:hAnsi="Arial" w:cs="Arial"/>
          <w:bCs/>
        </w:rPr>
        <w:t>questions suivantes.</w:t>
      </w:r>
    </w:p>
    <w:p w:rsidR="003A052D" w:rsidRPr="002C501F" w:rsidRDefault="000659B4" w:rsidP="003A052D">
      <w:pPr>
        <w:pStyle w:val="zet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A052D" w:rsidRPr="002C501F" w:rsidRDefault="000659B4" w:rsidP="003A052D">
      <w:pPr>
        <w:jc w:val="both"/>
        <w:rPr>
          <w:rFonts w:cs="Arial"/>
        </w:rPr>
      </w:pPr>
      <w:r>
        <w:rPr>
          <w:rFonts w:cs="Arial"/>
          <w:b/>
          <w:bCs/>
        </w:rPr>
        <w:t>1-</w:t>
      </w:r>
      <w:r w:rsidRPr="198D8AD9">
        <w:rPr>
          <w:rFonts w:cs="Arial"/>
        </w:rPr>
        <w:t xml:space="preserve"> Pour chacune des 5 séries ci-dessous, noter sur votre copie la lettr</w:t>
      </w:r>
      <w:r w:rsidRPr="198D8AD9">
        <w:rPr>
          <w:rFonts w:cs="Arial"/>
        </w:rPr>
        <w:t xml:space="preserve">e correspondant </w:t>
      </w:r>
      <w:r w:rsidRPr="198D8AD9">
        <w:rPr>
          <w:rFonts w:eastAsia="Arial" w:cs="Arial"/>
        </w:rPr>
        <w:t>à l’affirmation exacte.</w:t>
      </w:r>
    </w:p>
    <w:p w:rsidR="003A052D" w:rsidRPr="002C501F" w:rsidRDefault="000659B4" w:rsidP="00756243">
      <w:pPr>
        <w:spacing w:after="120" w:line="276" w:lineRule="auto"/>
        <w:ind w:left="284"/>
        <w:jc w:val="both"/>
        <w:rPr>
          <w:rFonts w:cs="Arial"/>
        </w:rPr>
      </w:pPr>
      <w:r w:rsidRPr="00160888">
        <w:rPr>
          <w:rFonts w:cs="Arial"/>
          <w:b/>
        </w:rPr>
        <w:t>I-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>a</w:t>
      </w:r>
      <w:r>
        <w:rPr>
          <w:rFonts w:cs="Arial"/>
        </w:rPr>
        <w:t xml:space="preserve"> différence entre la</w:t>
      </w:r>
      <w:r w:rsidRPr="002C501F">
        <w:rPr>
          <w:rFonts w:cs="Arial"/>
        </w:rPr>
        <w:t xml:space="preserve"> banquise </w:t>
      </w:r>
      <w:r>
        <w:rPr>
          <w:rFonts w:cs="Arial"/>
        </w:rPr>
        <w:t>et la calotte glaciaire (ou glacier) est :</w:t>
      </w:r>
    </w:p>
    <w:p w:rsidR="003A052D" w:rsidRPr="002C501F" w:rsidRDefault="000659B4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a)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plaque de glace posée sur le sol </w:t>
      </w:r>
      <w:r>
        <w:rPr>
          <w:rFonts w:cs="Arial"/>
        </w:rPr>
        <w:t>alors que la calotte glaciaire est une couche d’eau de mer qui flotte sur l’océan.</w:t>
      </w:r>
    </w:p>
    <w:p w:rsidR="003A052D" w:rsidRPr="002C501F" w:rsidRDefault="000659B4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b)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couche de glace d'eau de mer qui flotte sur l'océan </w:t>
      </w:r>
      <w:r>
        <w:rPr>
          <w:rFonts w:cs="Arial"/>
        </w:rPr>
        <w:t>alors que la calotte glaciaire est de l’eau douce gelée sur un continent.</w:t>
      </w:r>
    </w:p>
    <w:p w:rsidR="003A052D" w:rsidRDefault="000659B4" w:rsidP="00A36B38">
      <w:pPr>
        <w:spacing w:after="120" w:line="276" w:lineRule="auto"/>
        <w:ind w:left="851" w:hanging="284"/>
        <w:jc w:val="both"/>
        <w:rPr>
          <w:rFonts w:cs="Arial"/>
        </w:rPr>
      </w:pPr>
      <w:r w:rsidRPr="002C501F">
        <w:rPr>
          <w:rFonts w:cs="Arial"/>
        </w:rPr>
        <w:lastRenderedPageBreak/>
        <w:t xml:space="preserve">c) </w:t>
      </w:r>
      <w:r>
        <w:rPr>
          <w:rFonts w:cs="Arial"/>
        </w:rPr>
        <w:t>La banquise est u</w:t>
      </w:r>
      <w:r w:rsidRPr="002C501F">
        <w:rPr>
          <w:rFonts w:cs="Arial"/>
        </w:rPr>
        <w:t xml:space="preserve">ne couche de glace issue des glaciers qui flotte sur l'océan </w:t>
      </w:r>
      <w:r>
        <w:rPr>
          <w:rFonts w:cs="Arial"/>
        </w:rPr>
        <w:t xml:space="preserve">alors que la calotte </w:t>
      </w:r>
      <w:r>
        <w:rPr>
          <w:rFonts w:cs="Arial"/>
        </w:rPr>
        <w:t>glaciaire est u</w:t>
      </w:r>
      <w:r w:rsidRPr="0083393E">
        <w:rPr>
          <w:rFonts w:cs="Arial"/>
        </w:rPr>
        <w:t>ne couche d’eau de mer gelée posée sur le sol</w:t>
      </w:r>
      <w:r>
        <w:rPr>
          <w:rFonts w:cs="Arial"/>
        </w:rPr>
        <w:t>.</w:t>
      </w:r>
    </w:p>
    <w:p w:rsidR="003A052D" w:rsidRPr="0083393E" w:rsidRDefault="000659B4" w:rsidP="00A36B38">
      <w:pPr>
        <w:spacing w:after="240" w:line="276" w:lineRule="auto"/>
        <w:ind w:left="851" w:hanging="284"/>
        <w:jc w:val="both"/>
        <w:rPr>
          <w:rFonts w:cs="Arial"/>
        </w:rPr>
      </w:pPr>
      <w:r>
        <w:rPr>
          <w:rFonts w:cs="Arial"/>
        </w:rPr>
        <w:t>d) Il n’y a pas de différence, on utilise les deux termes indifféremment.</w:t>
      </w:r>
    </w:p>
    <w:p w:rsidR="003A052D" w:rsidRPr="002C501F" w:rsidRDefault="000659B4" w:rsidP="00756243">
      <w:pPr>
        <w:spacing w:after="120"/>
        <w:ind w:left="284"/>
        <w:jc w:val="both"/>
        <w:rPr>
          <w:rFonts w:cs="Arial"/>
        </w:rPr>
      </w:pPr>
      <w:r w:rsidRPr="00A36B38">
        <w:rPr>
          <w:rFonts w:cs="Arial"/>
          <w:b/>
        </w:rPr>
        <w:t>II-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 xml:space="preserve">a banquise estivale a fondu en 30 ans, depuis les années 1980 </w:t>
      </w:r>
      <w:r>
        <w:rPr>
          <w:rFonts w:cs="Arial"/>
        </w:rPr>
        <w:t>de :</w:t>
      </w:r>
      <w:r w:rsidRPr="002C501F">
        <w:rPr>
          <w:rFonts w:cs="Arial"/>
        </w:rPr>
        <w:t xml:space="preserve"> </w:t>
      </w:r>
    </w:p>
    <w:p w:rsidR="003A052D" w:rsidRPr="002C501F" w:rsidRDefault="000659B4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a) Environ 1 million de km</w:t>
      </w:r>
      <w:r w:rsidRPr="0083393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Pr="002C501F" w:rsidRDefault="000659B4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 xml:space="preserve">b) Environ 3 </w:t>
      </w:r>
      <w:r w:rsidRPr="002C501F">
        <w:rPr>
          <w:rFonts w:cs="Arial"/>
        </w:rPr>
        <w:t>millions de km</w:t>
      </w:r>
      <w:r w:rsidRPr="005326A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Default="000659B4" w:rsidP="00A36B38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c) Environ 6 millions de km</w:t>
      </w:r>
      <w:r w:rsidRPr="005326AE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:rsidR="003A052D" w:rsidRPr="002C501F" w:rsidRDefault="000659B4" w:rsidP="00A36B38">
      <w:pPr>
        <w:spacing w:after="240"/>
        <w:ind w:left="567"/>
        <w:jc w:val="both"/>
        <w:rPr>
          <w:rFonts w:cs="Arial"/>
        </w:rPr>
      </w:pPr>
      <w:r>
        <w:rPr>
          <w:rFonts w:cs="Arial"/>
        </w:rPr>
        <w:t>d) Plus de 7 millions de km</w:t>
      </w:r>
      <w:r w:rsidRPr="005326AE">
        <w:rPr>
          <w:rFonts w:cs="Arial"/>
          <w:vertAlign w:val="superscript"/>
        </w:rPr>
        <w:t>2</w:t>
      </w:r>
      <w:r w:rsidRPr="00756243">
        <w:rPr>
          <w:rFonts w:cs="Arial"/>
        </w:rPr>
        <w:t>.</w:t>
      </w:r>
    </w:p>
    <w:p w:rsidR="003A052D" w:rsidRPr="002C501F" w:rsidRDefault="000659B4" w:rsidP="00756243">
      <w:pPr>
        <w:spacing w:after="120"/>
        <w:ind w:left="284"/>
        <w:jc w:val="both"/>
        <w:rPr>
          <w:rFonts w:cs="Arial"/>
        </w:rPr>
      </w:pPr>
      <w:r w:rsidRPr="00A36B38">
        <w:rPr>
          <w:rFonts w:cs="Arial"/>
          <w:b/>
        </w:rPr>
        <w:t>III-</w:t>
      </w:r>
      <w:r w:rsidRPr="002C501F">
        <w:rPr>
          <w:rFonts w:cs="Arial"/>
        </w:rPr>
        <w:t xml:space="preserve"> L'albedo est :</w:t>
      </w:r>
    </w:p>
    <w:p w:rsidR="003A052D" w:rsidRPr="002C501F" w:rsidRDefault="000659B4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>a) Le pouv</w:t>
      </w:r>
      <w:r>
        <w:rPr>
          <w:rFonts w:cs="Arial"/>
        </w:rPr>
        <w:t>oir réfléchissant d'une surface.</w:t>
      </w:r>
    </w:p>
    <w:p w:rsidR="003A052D" w:rsidRPr="002C501F" w:rsidRDefault="000659B4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 xml:space="preserve">b) Le </w:t>
      </w:r>
      <w:r>
        <w:rPr>
          <w:rFonts w:cs="Arial"/>
        </w:rPr>
        <w:t>pouvoir absorbant d'une surface.</w:t>
      </w:r>
    </w:p>
    <w:p w:rsidR="003A052D" w:rsidRDefault="000659B4" w:rsidP="00756243">
      <w:pPr>
        <w:spacing w:after="120"/>
        <w:ind w:left="851" w:hanging="284"/>
        <w:jc w:val="both"/>
        <w:rPr>
          <w:rFonts w:cs="Arial"/>
        </w:rPr>
      </w:pPr>
      <w:r w:rsidRPr="002C501F">
        <w:rPr>
          <w:rFonts w:cs="Arial"/>
        </w:rPr>
        <w:t>c) Augmenté par la fonte des glaces ce qui entraine une rétroaction positive</w:t>
      </w:r>
      <w:r>
        <w:rPr>
          <w:rFonts w:cs="Arial"/>
        </w:rPr>
        <w:t>.</w:t>
      </w:r>
      <w:r w:rsidRPr="002C501F">
        <w:rPr>
          <w:rFonts w:cs="Arial"/>
        </w:rPr>
        <w:t xml:space="preserve"> </w:t>
      </w:r>
    </w:p>
    <w:p w:rsidR="003A052D" w:rsidRPr="002C501F" w:rsidRDefault="000659B4" w:rsidP="00756243">
      <w:pPr>
        <w:spacing w:after="240"/>
        <w:ind w:left="851" w:hanging="284"/>
        <w:jc w:val="both"/>
        <w:rPr>
          <w:rFonts w:cs="Arial"/>
        </w:rPr>
      </w:pPr>
      <w:r>
        <w:rPr>
          <w:rFonts w:cs="Arial"/>
        </w:rPr>
        <w:t>d) Diminué par la fonte des glaces mais cela n’a pas de conséquence majeure sur le climat.</w:t>
      </w:r>
    </w:p>
    <w:p w:rsidR="003A052D" w:rsidRPr="002C501F" w:rsidRDefault="000659B4" w:rsidP="00756243">
      <w:pPr>
        <w:spacing w:after="120"/>
        <w:ind w:left="284"/>
        <w:jc w:val="both"/>
        <w:rPr>
          <w:rFonts w:cs="Arial"/>
        </w:rPr>
      </w:pPr>
      <w:r w:rsidRPr="00756243">
        <w:rPr>
          <w:rFonts w:cs="Arial"/>
          <w:b/>
        </w:rPr>
        <w:t>IV-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 xml:space="preserve">es causes majeures de l'élévation du niveau marin </w:t>
      </w:r>
      <w:r>
        <w:rPr>
          <w:rFonts w:cs="Arial"/>
        </w:rPr>
        <w:t>sont :</w:t>
      </w:r>
    </w:p>
    <w:p w:rsidR="003A052D" w:rsidRPr="002C501F" w:rsidRDefault="000659B4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a) La fonte de la banquise et la dilatation thermique des océans</w:t>
      </w:r>
      <w:r>
        <w:rPr>
          <w:rFonts w:cs="Arial"/>
        </w:rPr>
        <w:t>.</w:t>
      </w:r>
    </w:p>
    <w:p w:rsidR="003A052D" w:rsidRPr="002C501F" w:rsidRDefault="000659B4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b) La f</w:t>
      </w:r>
      <w:r>
        <w:rPr>
          <w:rFonts w:cs="Arial"/>
        </w:rPr>
        <w:t>usion des glaces continental</w:t>
      </w:r>
      <w:r>
        <w:rPr>
          <w:rFonts w:cs="Arial"/>
        </w:rPr>
        <w:t>es</w:t>
      </w:r>
      <w:r w:rsidRPr="002C501F">
        <w:rPr>
          <w:rFonts w:cs="Arial"/>
        </w:rPr>
        <w:t xml:space="preserve"> et la dilatation thermique des océans</w:t>
      </w:r>
      <w:r>
        <w:rPr>
          <w:rFonts w:cs="Arial"/>
        </w:rPr>
        <w:t>.</w:t>
      </w:r>
    </w:p>
    <w:p w:rsidR="003A052D" w:rsidRDefault="000659B4" w:rsidP="00437267">
      <w:pPr>
        <w:spacing w:after="120"/>
        <w:ind w:left="567"/>
        <w:jc w:val="both"/>
        <w:rPr>
          <w:rFonts w:cs="Arial"/>
        </w:rPr>
      </w:pPr>
      <w:r w:rsidRPr="002C501F">
        <w:rPr>
          <w:rFonts w:cs="Arial"/>
        </w:rPr>
        <w:t>c) La dilatation thermique des océans et l’augmentation de la pluviométrie</w:t>
      </w:r>
      <w:r>
        <w:rPr>
          <w:rFonts w:cs="Arial"/>
        </w:rPr>
        <w:t>.</w:t>
      </w:r>
    </w:p>
    <w:p w:rsidR="003A052D" w:rsidRPr="002C501F" w:rsidRDefault="000659B4" w:rsidP="00437267">
      <w:pPr>
        <w:spacing w:after="240"/>
        <w:ind w:left="567"/>
        <w:jc w:val="both"/>
        <w:rPr>
          <w:rFonts w:cs="Arial"/>
        </w:rPr>
      </w:pPr>
      <w:r>
        <w:rPr>
          <w:rFonts w:cs="Arial"/>
        </w:rPr>
        <w:t>d) La baisse du niveau des continents qui s’affaissent au cours du temps.</w:t>
      </w:r>
    </w:p>
    <w:p w:rsidR="003A052D" w:rsidRPr="002C501F" w:rsidRDefault="000659B4" w:rsidP="009458E9">
      <w:pPr>
        <w:spacing w:after="120"/>
        <w:ind w:left="284"/>
        <w:jc w:val="both"/>
        <w:rPr>
          <w:rFonts w:cs="Arial"/>
        </w:rPr>
      </w:pPr>
      <w:r w:rsidRPr="009458E9">
        <w:rPr>
          <w:rFonts w:cs="Arial"/>
          <w:b/>
        </w:rPr>
        <w:t>V-</w:t>
      </w:r>
      <w:r w:rsidRPr="002C501F">
        <w:rPr>
          <w:rFonts w:cs="Arial"/>
        </w:rPr>
        <w:t xml:space="preserve"> </w:t>
      </w:r>
      <w:r>
        <w:rPr>
          <w:rFonts w:cs="Arial"/>
        </w:rPr>
        <w:t>L</w:t>
      </w:r>
      <w:r w:rsidRPr="002C501F">
        <w:rPr>
          <w:rFonts w:cs="Arial"/>
        </w:rPr>
        <w:t>es changements en Arctique risquent</w:t>
      </w:r>
      <w:r>
        <w:rPr>
          <w:rFonts w:cs="Arial"/>
        </w:rPr>
        <w:t xml:space="preserve"> </w:t>
      </w:r>
      <w:r w:rsidRPr="002C501F">
        <w:rPr>
          <w:rFonts w:cs="Arial"/>
        </w:rPr>
        <w:t xml:space="preserve">d'affecter l’économie mondiale </w:t>
      </w:r>
      <w:r>
        <w:rPr>
          <w:rFonts w:cs="Arial"/>
        </w:rPr>
        <w:t xml:space="preserve">car : </w:t>
      </w:r>
    </w:p>
    <w:p w:rsidR="003A052D" w:rsidRPr="00B22AE5" w:rsidRDefault="000659B4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 xml:space="preserve">a) </w:t>
      </w:r>
      <w:r w:rsidRPr="00B22AE5">
        <w:rPr>
          <w:rFonts w:cs="Arial"/>
        </w:rPr>
        <w:t>En raison de la fonte des glaciers, de plus en plus de personnes pourront aller habiter en Arctique</w:t>
      </w:r>
      <w:r>
        <w:rPr>
          <w:rFonts w:cs="Arial"/>
        </w:rPr>
        <w:t>.</w:t>
      </w:r>
    </w:p>
    <w:p w:rsidR="003A052D" w:rsidRPr="00B22AE5" w:rsidRDefault="000659B4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>b) </w:t>
      </w:r>
      <w:r w:rsidRPr="00B22AE5">
        <w:rPr>
          <w:rFonts w:cs="Arial"/>
        </w:rPr>
        <w:t>Les passages maritimes sont facilités entre l’océan Atlantique et l’océan Indien</w:t>
      </w:r>
      <w:r>
        <w:rPr>
          <w:rFonts w:cs="Arial"/>
        </w:rPr>
        <w:t>.</w:t>
      </w:r>
    </w:p>
    <w:p w:rsidR="003A052D" w:rsidRPr="00B22AE5" w:rsidRDefault="000659B4" w:rsidP="009458E9">
      <w:pPr>
        <w:spacing w:after="120"/>
        <w:ind w:left="851" w:hanging="284"/>
        <w:jc w:val="both"/>
        <w:rPr>
          <w:rFonts w:cs="Arial"/>
        </w:rPr>
      </w:pPr>
      <w:r>
        <w:rPr>
          <w:rFonts w:cs="Arial"/>
        </w:rPr>
        <w:t>c) </w:t>
      </w:r>
      <w:r w:rsidRPr="00B22AE5">
        <w:rPr>
          <w:rFonts w:cs="Arial"/>
        </w:rPr>
        <w:t xml:space="preserve">De nouveaux passages sont </w:t>
      </w:r>
      <w:r w:rsidRPr="00B22AE5">
        <w:rPr>
          <w:rFonts w:cs="Arial"/>
        </w:rPr>
        <w:t>possibles en bateau au niveau du grand Nord canadien.</w:t>
      </w:r>
    </w:p>
    <w:p w:rsidR="00094CF0" w:rsidRDefault="000659B4" w:rsidP="00094CF0">
      <w:pPr>
        <w:spacing w:after="240"/>
        <w:ind w:left="851" w:hanging="284"/>
        <w:jc w:val="both"/>
        <w:rPr>
          <w:rFonts w:cs="Arial"/>
        </w:rPr>
      </w:pPr>
      <w:r>
        <w:rPr>
          <w:rFonts w:cs="Arial"/>
        </w:rPr>
        <w:t>d) </w:t>
      </w:r>
      <w:r w:rsidRPr="00B22AE5">
        <w:rPr>
          <w:rFonts w:cs="Arial"/>
        </w:rPr>
        <w:t>Il n’y aura pas d’incidence sur l’économie mondiale, l’Arctique n’est pas impliqué dans les prises de décision géopolitiques.</w:t>
      </w:r>
      <w:r>
        <w:rPr>
          <w:rFonts w:cs="Arial"/>
        </w:rPr>
        <w:br w:type="page"/>
      </w:r>
    </w:p>
    <w:p w:rsidR="003A052D" w:rsidRDefault="000659B4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9808F2" w:rsidRDefault="000659B4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9808F2" w:rsidRPr="002C501F" w:rsidRDefault="000659B4" w:rsidP="003A052D">
      <w:pPr>
        <w:pStyle w:val="Paragraphedeliste"/>
        <w:spacing w:after="0"/>
        <w:ind w:left="0"/>
        <w:jc w:val="both"/>
        <w:rPr>
          <w:rFonts w:cs="Arial"/>
        </w:rPr>
      </w:pPr>
    </w:p>
    <w:p w:rsidR="003A052D" w:rsidRDefault="000659B4" w:rsidP="00094CF0">
      <w:pPr>
        <w:spacing w:after="240"/>
        <w:jc w:val="both"/>
        <w:rPr>
          <w:rFonts w:cs="Arial"/>
        </w:rPr>
      </w:pPr>
      <w:r w:rsidRPr="00C13F98">
        <w:rPr>
          <w:rFonts w:cs="Arial"/>
          <w:b/>
          <w:bCs/>
        </w:rPr>
        <w:t>2</w:t>
      </w:r>
      <w:r>
        <w:rPr>
          <w:rFonts w:cs="Arial"/>
          <w:b/>
          <w:bCs/>
        </w:rPr>
        <w:t>-</w:t>
      </w:r>
      <w:r>
        <w:rPr>
          <w:rFonts w:cs="Arial"/>
        </w:rPr>
        <w:t xml:space="preserve"> À</w:t>
      </w:r>
      <w:r w:rsidRPr="002C501F">
        <w:rPr>
          <w:rFonts w:cs="Arial"/>
        </w:rPr>
        <w:t xml:space="preserve"> partir de l’interprétation du document 2, discuter du rôle de la</w:t>
      </w:r>
      <w:r w:rsidRPr="002C501F">
        <w:rPr>
          <w:rFonts w:cs="Arial"/>
        </w:rPr>
        <w:t xml:space="preserve"> fonte des glaces sur la montée du niveau des océans</w:t>
      </w:r>
      <w:r>
        <w:rPr>
          <w:rFonts w:cs="Arial"/>
        </w:rPr>
        <w:t xml:space="preserve"> en </w:t>
      </w:r>
      <w:r w:rsidRPr="002C501F">
        <w:rPr>
          <w:rFonts w:cs="Arial"/>
        </w:rPr>
        <w:t>fai</w:t>
      </w:r>
      <w:r>
        <w:rPr>
          <w:rFonts w:cs="Arial"/>
        </w:rPr>
        <w:t>sant</w:t>
      </w:r>
      <w:r w:rsidRPr="002C501F">
        <w:rPr>
          <w:rFonts w:cs="Arial"/>
        </w:rPr>
        <w:t xml:space="preserve"> apparaitre la différence entre une banquise et un glacier.</w:t>
      </w:r>
    </w:p>
    <w:p w:rsidR="003A052D" w:rsidRDefault="000659B4" w:rsidP="00094CF0">
      <w:pPr>
        <w:spacing w:after="240"/>
        <w:jc w:val="both"/>
        <w:rPr>
          <w:rFonts w:cs="Arial"/>
        </w:rPr>
      </w:pPr>
      <w:r w:rsidRPr="00C13F98">
        <w:rPr>
          <w:rFonts w:cs="Arial"/>
          <w:b/>
          <w:bCs/>
        </w:rPr>
        <w:t>3</w:t>
      </w:r>
      <w:r>
        <w:rPr>
          <w:rFonts w:cs="Arial"/>
          <w:b/>
          <w:bCs/>
        </w:rPr>
        <w:t>-</w:t>
      </w:r>
      <w:r>
        <w:rPr>
          <w:rFonts w:cs="Arial"/>
        </w:rPr>
        <w:t xml:space="preserve"> Dans le cadre des hypothèses du document 3 : </w:t>
      </w:r>
    </w:p>
    <w:p w:rsidR="003A052D" w:rsidRPr="00B22AE5" w:rsidRDefault="000659B4" w:rsidP="00094CF0">
      <w:pPr>
        <w:spacing w:after="240"/>
        <w:jc w:val="both"/>
        <w:rPr>
          <w:rFonts w:eastAsia="Times New Roman" w:cs="Arial"/>
        </w:rPr>
      </w:pPr>
      <w:r>
        <w:rPr>
          <w:rFonts w:cs="Arial"/>
          <w:b/>
          <w:bCs/>
        </w:rPr>
        <w:t>3-1-</w:t>
      </w:r>
      <w:r>
        <w:rPr>
          <w:rFonts w:cs="Arial"/>
        </w:rPr>
        <w:t>  </w:t>
      </w:r>
      <w:r w:rsidRPr="70465F72">
        <w:rPr>
          <w:rFonts w:cs="Arial"/>
        </w:rPr>
        <w:t xml:space="preserve">Calculer le volume </w:t>
      </w:r>
      <w:r w:rsidRPr="70465F72">
        <w:rPr>
          <w:rFonts w:eastAsia="Times New Roman" w:cs="Arial"/>
        </w:rPr>
        <w:t>V</w:t>
      </w:r>
      <w:r w:rsidRPr="70465F72">
        <w:rPr>
          <w:rFonts w:eastAsia="Times New Roman" w:cs="Arial"/>
          <w:vertAlign w:val="subscript"/>
        </w:rPr>
        <w:t>0</w:t>
      </w:r>
      <w:r w:rsidRPr="70465F72">
        <w:rPr>
          <w:rFonts w:eastAsia="Times New Roman" w:cs="Arial"/>
        </w:rPr>
        <w:t xml:space="preserve"> d’eau des océans qui subirait un changement de température.</w:t>
      </w:r>
    </w:p>
    <w:p w:rsidR="003A052D" w:rsidRPr="00B22AE5" w:rsidRDefault="000659B4" w:rsidP="00094CF0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3-2-</w:t>
      </w:r>
      <w:r>
        <w:rPr>
          <w:rFonts w:cs="Arial"/>
        </w:rPr>
        <w:t>  </w:t>
      </w:r>
      <w:r w:rsidRPr="70465F72">
        <w:rPr>
          <w:rFonts w:cs="Arial"/>
        </w:rPr>
        <w:t>En utilisant la formule proposée, évaluer l’augmentation de la hauteur d’eau des océans due au seul phénomène de dilatation thermique de l’eau présente dans l’ensemble des océans du globe</w:t>
      </w:r>
    </w:p>
    <w:p w:rsidR="003A052D" w:rsidRDefault="000659B4" w:rsidP="00094CF0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3</w:t>
      </w:r>
      <w:r>
        <w:rPr>
          <w:rFonts w:cs="Arial"/>
          <w:b/>
          <w:bCs/>
        </w:rPr>
        <w:t>-3-</w:t>
      </w:r>
      <w:r>
        <w:rPr>
          <w:rFonts w:cs="Arial"/>
        </w:rPr>
        <w:t>  </w:t>
      </w:r>
      <w:r w:rsidRPr="00B22AE5">
        <w:rPr>
          <w:rFonts w:cs="Arial"/>
        </w:rPr>
        <w:t>Justifier le fait que dans le calcul proposé dans le document 3, on ne prenne en compte que les 1000 premiers mètres de l’océan.</w:t>
      </w:r>
    </w:p>
    <w:p w:rsidR="009808F2" w:rsidRDefault="000659B4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281190" w:rsidRPr="00281190" w:rsidTr="00094CF0">
        <w:trPr>
          <w:trHeight w:val="4085"/>
          <w:jc w:val="center"/>
        </w:trPr>
        <w:tc>
          <w:tcPr>
            <w:tcW w:w="9060" w:type="dxa"/>
          </w:tcPr>
          <w:p w:rsidR="00281190" w:rsidRPr="00281190" w:rsidRDefault="000659B4" w:rsidP="00281190">
            <w:pPr>
              <w:spacing w:before="120" w:after="120"/>
              <w:jc w:val="both"/>
              <w:rPr>
                <w:rStyle w:val="Accentuation"/>
                <w:rFonts w:cs="Arial"/>
                <w:i w:val="0"/>
                <w:iCs w:val="0"/>
                <w:bdr w:val="none" w:sz="0" w:space="0" w:color="auto" w:frame="1"/>
                <w:shd w:val="clear" w:color="auto" w:fill="FFFFFF"/>
              </w:rPr>
            </w:pPr>
            <w:r w:rsidRPr="00281190">
              <w:rPr>
                <w:rStyle w:val="Accentuation"/>
                <w:rFonts w:cs="Arial"/>
                <w:b/>
                <w:i w:val="0"/>
                <w:iCs w:val="0"/>
                <w:bdr w:val="none" w:sz="0" w:space="0" w:color="auto" w:frame="1"/>
                <w:shd w:val="clear" w:color="auto" w:fill="FFFFFF"/>
              </w:rPr>
              <w:lastRenderedPageBreak/>
              <w:t>Document 1</w:t>
            </w:r>
            <w:r w:rsidRPr="00DA6D92">
              <w:rPr>
                <w:rStyle w:val="Accentuation"/>
                <w:rFonts w:cs="Arial"/>
                <w:b/>
                <w:i w:val="0"/>
                <w:bdr w:val="none" w:sz="0" w:space="0" w:color="auto" w:frame="1"/>
                <w:shd w:val="clear" w:color="auto" w:fill="FFFFFF"/>
              </w:rPr>
              <w:t> </w:t>
            </w:r>
            <w:r w:rsidRPr="00904808">
              <w:rPr>
                <w:rStyle w:val="Accentuation"/>
                <w:rFonts w:cs="Arial"/>
                <w:b/>
                <w:i w:val="0"/>
                <w:bdr w:val="none" w:sz="0" w:space="0" w:color="auto" w:frame="1"/>
                <w:shd w:val="clear" w:color="auto" w:fill="FFFFFF"/>
              </w:rPr>
              <w:t>:</w:t>
            </w:r>
            <w:r w:rsidRPr="00904808"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 xml:space="preserve"> Extension de la glace de mer de l’Arctique </w:t>
            </w:r>
            <w:r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>au mois de</w:t>
            </w:r>
            <w:r w:rsidRPr="00904808">
              <w:rPr>
                <w:rStyle w:val="Accentuation"/>
                <w:rFonts w:cs="Arial"/>
                <w:i w:val="0"/>
                <w:bdr w:val="none" w:sz="0" w:space="0" w:color="auto" w:frame="1"/>
                <w:shd w:val="clear" w:color="auto" w:fill="FFFFFF"/>
              </w:rPr>
              <w:t xml:space="preserve"> septembre de 1979 à 2020</w:t>
            </w:r>
            <w:r w:rsidRPr="00281190"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281190" w:rsidRPr="00281190" w:rsidRDefault="000659B4" w:rsidP="00845DDB">
            <w:pPr>
              <w:spacing w:after="0"/>
              <w:jc w:val="center"/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</w:rPr>
            </w:pPr>
            <w:r w:rsidRPr="00281190">
              <w:rPr>
                <w:rStyle w:val="Accentuation"/>
                <w:i w:val="0"/>
                <w:iCs w:val="0"/>
                <w:noProof/>
              </w:rPr>
              <w:drawing>
                <wp:inline distT="0" distB="0" distL="0" distR="0" wp14:anchorId="112922B9" wp14:editId="7225C9C1">
                  <wp:extent cx="5219065" cy="2037715"/>
                  <wp:effectExtent l="0" t="0" r="0" b="635"/>
                  <wp:docPr id="2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2" t="9623" r="-18" b="4571"/>
                          <a:stretch/>
                        </pic:blipFill>
                        <pic:spPr bwMode="auto">
                          <a:xfrm>
                            <a:off x="0" y="0"/>
                            <a:ext cx="5226595" cy="204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81190" w:rsidRPr="00281190" w:rsidRDefault="000659B4" w:rsidP="004B2EAB">
            <w:pPr>
              <w:jc w:val="right"/>
              <w:rPr>
                <w:rStyle w:val="Accentuation"/>
                <w:rFonts w:cs="Arial"/>
                <w:i w:val="0"/>
                <w:iCs w:val="0"/>
                <w:bdr w:val="none" w:sz="0" w:space="0" w:color="auto" w:frame="1"/>
                <w:shd w:val="clear" w:color="auto" w:fill="FFFFFF"/>
              </w:rPr>
            </w:pPr>
            <w:r w:rsidRPr="00845DDB">
              <w:rPr>
                <w:rStyle w:val="Accentuation"/>
                <w:rFonts w:cs="Arial"/>
                <w:sz w:val="22"/>
                <w:bdr w:val="none" w:sz="0" w:space="0" w:color="auto" w:frame="1"/>
                <w:shd w:val="clear" w:color="auto" w:fill="FFFFFF"/>
                <w:lang w:val="en-US"/>
              </w:rPr>
              <w:t>D’après National Snow and</w:t>
            </w:r>
            <w:r w:rsidRPr="00845DDB">
              <w:rPr>
                <w:rStyle w:val="Accentuation"/>
                <w:rFonts w:cs="Arial"/>
                <w:sz w:val="22"/>
                <w:bdr w:val="none" w:sz="0" w:space="0" w:color="auto" w:frame="1"/>
                <w:shd w:val="clear" w:color="auto" w:fill="FFFFFF"/>
                <w:lang w:val="en-US"/>
              </w:rPr>
              <w:t xml:space="preserve"> Ice Data Center</w:t>
            </w:r>
            <w:r w:rsidRPr="00281190">
              <w:rPr>
                <w:rStyle w:val="Accentuation"/>
                <w:rFonts w:cs="Arial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</w:p>
        </w:tc>
      </w:tr>
    </w:tbl>
    <w:p w:rsidR="00C64D11" w:rsidRPr="00F47F88" w:rsidRDefault="000659B4" w:rsidP="00C64D11">
      <w:pPr>
        <w:ind w:left="709"/>
        <w:jc w:val="right"/>
        <w:rPr>
          <w:rStyle w:val="Accentuation"/>
          <w:rFonts w:cs="Arial"/>
          <w:bdr w:val="none" w:sz="0" w:space="0" w:color="auto" w:frame="1"/>
          <w:shd w:val="clear" w:color="auto" w:fill="FFFFFF"/>
          <w:lang w:val="en-US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973B0C" w:rsidRPr="00973B0C" w:rsidTr="00F118B1">
        <w:trPr>
          <w:trHeight w:val="5899"/>
          <w:jc w:val="center"/>
        </w:trPr>
        <w:tc>
          <w:tcPr>
            <w:tcW w:w="9070" w:type="dxa"/>
          </w:tcPr>
          <w:p w:rsidR="00973B0C" w:rsidRPr="00973B0C" w:rsidRDefault="000659B4" w:rsidP="00973B0C">
            <w:pPr>
              <w:spacing w:before="120" w:after="120"/>
              <w:rPr>
                <w:rFonts w:cs="Arial"/>
                <w:bdr w:val="none" w:sz="0" w:space="0" w:color="auto" w:frame="1"/>
                <w:shd w:val="clear" w:color="auto" w:fill="FFFFFF"/>
              </w:rPr>
            </w:pPr>
            <w:r w:rsidRPr="00973B0C">
              <w:rPr>
                <w:rFonts w:cs="Arial"/>
                <w:b/>
                <w:bdr w:val="none" w:sz="0" w:space="0" w:color="auto" w:frame="1"/>
                <w:shd w:val="clear" w:color="auto" w:fill="FFFFFF"/>
              </w:rPr>
              <w:t>Document 2 :</w:t>
            </w:r>
            <w:r w:rsidRPr="00973B0C">
              <w:rPr>
                <w:rFonts w:cs="Arial"/>
                <w:bdr w:val="none" w:sz="0" w:space="0" w:color="auto" w:frame="1"/>
                <w:shd w:val="clear" w:color="auto" w:fill="FFFFFF"/>
              </w:rPr>
              <w:t xml:space="preserve"> Simulation expérimentale des effets de la fonte des glaces</w:t>
            </w:r>
          </w:p>
          <w:p w:rsidR="00973B0C" w:rsidRPr="00973B0C" w:rsidRDefault="000659B4" w:rsidP="00973B0C">
            <w:pPr>
              <w:pStyle w:val="zeta"/>
              <w:shd w:val="clear" w:color="auto" w:fill="FFFFFF"/>
              <w:spacing w:before="0" w:beforeAutospacing="0" w:after="0" w:afterAutospacing="0"/>
              <w:jc w:val="center"/>
            </w:pPr>
            <w:r w:rsidRPr="00973B0C">
              <w:rPr>
                <w:noProof/>
              </w:rPr>
              <w:drawing>
                <wp:inline distT="0" distB="0" distL="0" distR="0" wp14:anchorId="66244859" wp14:editId="18F8734C">
                  <wp:extent cx="5200322" cy="2968625"/>
                  <wp:effectExtent l="0" t="0" r="635" b="3175"/>
                  <wp:docPr id="3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07"/>
                          <a:stretch/>
                        </pic:blipFill>
                        <pic:spPr bwMode="auto">
                          <a:xfrm>
                            <a:off x="0" y="0"/>
                            <a:ext cx="5201617" cy="296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73B0C" w:rsidRPr="009808F2" w:rsidRDefault="000659B4" w:rsidP="00973B0C">
            <w:pPr>
              <w:pStyle w:val="zeta"/>
              <w:shd w:val="clear" w:color="auto" w:fill="FFFFFF" w:themeFill="background1"/>
              <w:spacing w:before="0" w:after="0"/>
              <w:jc w:val="right"/>
              <w:rPr>
                <w:rFonts w:ascii="Arial" w:hAnsi="Arial" w:cs="Arial"/>
                <w:i/>
                <w:bdr w:val="none" w:sz="0" w:space="0" w:color="auto" w:frame="1"/>
                <w:shd w:val="clear" w:color="auto" w:fill="FFFFFF"/>
                <w:lang w:val="en-US"/>
              </w:rPr>
            </w:pPr>
            <w:r w:rsidRPr="009808F2">
              <w:rPr>
                <w:rFonts w:ascii="Arial" w:hAnsi="Arial" w:cs="Arial"/>
                <w:i/>
                <w:sz w:val="22"/>
              </w:rPr>
              <w:t>D’après https://www.fondation-lamap</w:t>
            </w:r>
          </w:p>
        </w:tc>
      </w:tr>
    </w:tbl>
    <w:p w:rsidR="0032726D" w:rsidRDefault="000659B4">
      <w:pPr>
        <w:spacing w:after="0" w:line="240" w:lineRule="auto"/>
        <w:rPr>
          <w:rFonts w:eastAsia="Times New Roman" w:cs="Arial"/>
        </w:rPr>
      </w:pPr>
      <w:r>
        <w:rPr>
          <w:rFonts w:cs="Arial"/>
        </w:rPr>
        <w:br w:type="page"/>
      </w:r>
    </w:p>
    <w:p w:rsidR="00C64D11" w:rsidRDefault="000659B4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2726D" w:rsidRDefault="000659B4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2726D" w:rsidRDefault="000659B4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483F6E" w:rsidRPr="00483F6E" w:rsidTr="00704578">
        <w:trPr>
          <w:trHeight w:val="8505"/>
          <w:jc w:val="center"/>
        </w:trPr>
        <w:tc>
          <w:tcPr>
            <w:tcW w:w="9065" w:type="dxa"/>
          </w:tcPr>
          <w:p w:rsidR="00483F6E" w:rsidRPr="00483F6E" w:rsidRDefault="000659B4" w:rsidP="00904808">
            <w:pPr>
              <w:spacing w:before="120" w:after="120"/>
              <w:jc w:val="both"/>
              <w:rPr>
                <w:rFonts w:cs="Arial"/>
              </w:rPr>
            </w:pPr>
            <w:r w:rsidRPr="00483F6E">
              <w:rPr>
                <w:rFonts w:cs="Arial"/>
                <w:b/>
              </w:rPr>
              <w:t>Document 3</w:t>
            </w:r>
            <w:r w:rsidRPr="00904808">
              <w:rPr>
                <w:rFonts w:cs="Arial"/>
                <w:b/>
              </w:rPr>
              <w:t> :</w:t>
            </w:r>
            <w:r w:rsidRPr="00483F6E">
              <w:rPr>
                <w:rFonts w:cs="Arial"/>
              </w:rPr>
              <w:t xml:space="preserve"> Impact du phénomène de dilatation thermique de l’eau sur le niveau des océans </w:t>
            </w:r>
          </w:p>
          <w:p w:rsidR="00483F6E" w:rsidRPr="00483F6E" w:rsidRDefault="000659B4" w:rsidP="00AB6AEB">
            <w:pPr>
              <w:spacing w:after="120" w:line="240" w:lineRule="auto"/>
              <w:jc w:val="both"/>
              <w:rPr>
                <w:rFonts w:cs="Arial"/>
                <w:color w:val="000000"/>
                <w:shd w:val="clear" w:color="auto" w:fill="FFFFFF"/>
              </w:rPr>
            </w:pP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Au cours des deux derniers 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millions d’années, le niveau de la mer a varié de façon périodique au gré des alternances de périodes glaciaires et interglaciaires. Au cours des derniers milliers d’années, le niveau moyen s’est stabilisé et n’a varié que de 0,1 à 0,2 mm au maximum par an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. Au cours du XX</w:t>
            </w:r>
            <w:r w:rsidRPr="00483F6E">
              <w:rPr>
                <w:rFonts w:cs="Arial"/>
                <w:color w:val="000000"/>
                <w:shd w:val="clear" w:color="auto" w:fill="FFFFFF"/>
                <w:vertAlign w:val="superscript"/>
              </w:rPr>
              <w:t>ème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> siècle, une augmentation de ce niveau est clairement observée. Cette montée du niveau moyen est attribuée au réchauffement climatique qui touche la planète à travers deux processus principaux : la dilatation de l'eau de mer liée au réch</w:t>
            </w:r>
            <w:r w:rsidRPr="00483F6E">
              <w:rPr>
                <w:rFonts w:cs="Arial"/>
                <w:color w:val="000000"/>
                <w:shd w:val="clear" w:color="auto" w:fill="FFFFFF"/>
              </w:rPr>
              <w:t xml:space="preserve">auffement des eaux océaniques, et la fonte des glaces terrestres. </w:t>
            </w:r>
          </w:p>
          <w:p w:rsidR="00483F6E" w:rsidRPr="00AB6AEB" w:rsidRDefault="000659B4" w:rsidP="00AB6AEB">
            <w:pPr>
              <w:spacing w:before="120" w:after="240" w:line="240" w:lineRule="auto"/>
              <w:jc w:val="right"/>
              <w:rPr>
                <w:rFonts w:cs="Arial"/>
                <w:i/>
                <w:iCs/>
                <w:color w:val="000000"/>
                <w:sz w:val="22"/>
                <w:shd w:val="clear" w:color="auto" w:fill="FFFFFF"/>
              </w:rPr>
            </w:pPr>
            <w:r w:rsidRPr="00AB6AEB">
              <w:rPr>
                <w:rFonts w:cs="Arial"/>
                <w:i/>
                <w:iCs/>
                <w:color w:val="000000"/>
                <w:sz w:val="22"/>
                <w:shd w:val="clear" w:color="auto" w:fill="FFFFFF"/>
              </w:rPr>
              <w:t xml:space="preserve">D'après </w:t>
            </w:r>
            <w:hyperlink r:id="rId13" w:history="1">
              <w:r w:rsidRPr="00AB6AEB">
                <w:rPr>
                  <w:rStyle w:val="Lienhypertexte"/>
                  <w:rFonts w:cs="Arial"/>
                  <w:i/>
                  <w:iCs/>
                  <w:sz w:val="22"/>
                  <w:shd w:val="clear" w:color="auto" w:fill="FFFFFF"/>
                </w:rPr>
                <w:t>http://www.cnrs.fr/cw/dossiers/dospoles/alternative13.html</w:t>
              </w:r>
            </w:hyperlink>
          </w:p>
          <w:p w:rsidR="00483F6E" w:rsidRPr="00483F6E" w:rsidRDefault="000659B4" w:rsidP="005D48E0">
            <w:pPr>
              <w:spacing w:after="120" w:line="240" w:lineRule="auto"/>
              <w:jc w:val="both"/>
              <w:rPr>
                <w:rFonts w:eastAsia="Times New Roman" w:cs="Arial"/>
              </w:rPr>
            </w:pPr>
            <w:r w:rsidRPr="00483F6E">
              <w:rPr>
                <w:rFonts w:eastAsia="Times New Roman" w:cs="Arial"/>
              </w:rPr>
              <w:t>Des calculs ont été réalisés afin d’estimer l’a</w:t>
            </w:r>
            <w:r w:rsidRPr="00483F6E">
              <w:rPr>
                <w:rFonts w:eastAsia="Times New Roman" w:cs="Arial"/>
              </w:rPr>
              <w:t>ugmentation du niveau des océans due au seul phénomène de dilatation de l’eau.</w:t>
            </w:r>
          </w:p>
          <w:p w:rsidR="00483F6E" w:rsidRPr="00483F6E" w:rsidRDefault="000659B4" w:rsidP="005D48E0">
            <w:pPr>
              <w:spacing w:after="0" w:line="240" w:lineRule="auto"/>
              <w:jc w:val="both"/>
              <w:rPr>
                <w:rFonts w:eastAsia="Times New Roman" w:cs="Arial"/>
              </w:rPr>
            </w:pPr>
            <w:r w:rsidRPr="00483F6E">
              <w:rPr>
                <w:rFonts w:eastAsia="Times New Roman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9931C50" wp14:editId="5BB20B4B">
                      <wp:simplePos x="0" y="0"/>
                      <wp:positionH relativeFrom="margin">
                        <wp:posOffset>129540</wp:posOffset>
                      </wp:positionH>
                      <wp:positionV relativeFrom="paragraph">
                        <wp:posOffset>603885</wp:posOffset>
                      </wp:positionV>
                      <wp:extent cx="5353050" cy="733425"/>
                      <wp:effectExtent l="0" t="0" r="19050" b="28575"/>
                      <wp:wrapSquare wrapText="bothSides"/>
                      <wp:docPr id="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53050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3F6E" w:rsidRPr="005D48E0" w:rsidRDefault="000659B4" w:rsidP="005D48E0">
                                  <w:pPr>
                                    <w:spacing w:after="120" w:line="240" w:lineRule="auto"/>
                                    <w:rPr>
                                      <w:rFonts w:eastAsia="Times New Roman" w:cs="Arial"/>
                                      <w:sz w:val="2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Times New Roman" w:hAnsi="Cambria Math" w:cs="Arial"/>
                                          <w:sz w:val="28"/>
                                        </w:rPr>
                                        <m:t>∆V= α×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  <m:t>V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eastAsia="Times New Roman" w:hAnsi="Cambria Math" w:cs="Arial"/>
                                              <w:sz w:val="28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="Times New Roman" w:hAnsi="Cambria Math" w:cs="Arial"/>
                                          <w:sz w:val="28"/>
                                        </w:rPr>
                                        <m:t>×∆T</m:t>
                                      </m:r>
                                    </m:oMath>
                                  </m:oMathPara>
                                </w:p>
                                <w:p w:rsidR="00483F6E" w:rsidRPr="00E85B54" w:rsidRDefault="000659B4" w:rsidP="004C6181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eastAsia="Times New Roman" w:cs="Arial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</w:rPr>
                                    <w:t>a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vec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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>T en °C,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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>V et V</w:t>
                                  </w:r>
                                  <w:r>
                                    <w:rPr>
                                      <w:rFonts w:eastAsia="Times New Roman" w:cs="Arial"/>
                                      <w:vertAlign w:val="subscript"/>
                                    </w:rPr>
                                    <w:t>0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e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>n m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3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et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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 le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coefficient de dilatation thermique de la </w:t>
                                  </w:r>
                                  <w:r>
                                    <w:rPr>
                                      <w:rFonts w:eastAsia="Times New Roman" w:cs="Arial"/>
                                    </w:rPr>
                                    <w:t xml:space="preserve">couche superficielle océanique tel que </w:t>
                                  </w:r>
                                  <w:r w:rsidRPr="00E85B54">
                                    <w:rPr>
                                      <w:rFonts w:ascii="Symbol" w:eastAsia="Symbol" w:hAnsi="Symbol" w:cs="Symbol"/>
                                    </w:rPr>
                                    <w:t>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= 2,6.10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-4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</w:rPr>
                                    <w:t xml:space="preserve"> °C</w:t>
                                  </w:r>
                                  <w:r w:rsidRPr="00E85B54">
                                    <w:rPr>
                                      <w:rFonts w:eastAsia="Times New Roman" w:cs="Arial"/>
                                      <w:vertAlign w:val="superscript"/>
                                    </w:rPr>
                                    <w:t>-1</w:t>
                                  </w:r>
                                  <w:r w:rsidRPr="004C6181">
                                    <w:rPr>
                                      <w:rFonts w:eastAsia="Times New Roman" w:cs="Aria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931C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0.2pt;margin-top:47.55pt;width:421.5pt;height:5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">
                      <v:textbox>
                        <w:txbxContent>
                          <w:p w:rsidR="00483F6E" w:rsidRPr="005D48E0" w:rsidRDefault="005D48E0" w:rsidP="005D48E0">
                            <w:pPr>
                              <w:spacing w:after="120" w:line="240" w:lineRule="auto"/>
                              <w:rPr>
                                <w:rFonts w:eastAsia="Times New Roman" w:cs="Arial"/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Arial"/>
                                    <w:sz w:val="28"/>
                                  </w:rPr>
                                  <m:t>∆V= α×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Times New Roman" w:hAnsi="Cambria Math" w:cs="Arial"/>
                                        <w:sz w:val="28"/>
                                      </w:rPr>
                                      <m:t>0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Times New Roman" w:hAnsi="Cambria Math" w:cs="Arial"/>
                                    <w:sz w:val="28"/>
                                  </w:rPr>
                                  <m:t>×∆T</m:t>
                                </m:r>
                              </m:oMath>
                            </m:oMathPara>
                          </w:p>
                          <w:p w:rsidR="00483F6E" w:rsidRPr="00E85B54" w:rsidRDefault="005D48E0" w:rsidP="004C6181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="Arial"/>
                              </w:rPr>
                            </w:pPr>
                            <w:proofErr w:type="gramStart"/>
                            <w:r>
                              <w:rPr>
                                <w:rFonts w:eastAsia="Times New Roman" w:cs="Arial"/>
                              </w:rPr>
                              <w:t>a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vec</w:t>
                            </w:r>
                            <w:proofErr w:type="gramEnd"/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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>T en °C,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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V et V</w:t>
                            </w:r>
                            <w:r w:rsidR="004C6181">
                              <w:rPr>
                                <w:rFonts w:eastAsia="Times New Roman" w:cs="Arial"/>
                                <w:vertAlign w:val="subscript"/>
                              </w:rPr>
                              <w:t>0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 e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>n m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3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 et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</w:t>
                            </w:r>
                            <w:r w:rsidR="00483F6E">
                              <w:rPr>
                                <w:rFonts w:eastAsia="Times New Roman" w:cs="Arial"/>
                              </w:rPr>
                              <w:t xml:space="preserve"> 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>le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coefficient de dilatation thermique de la </w:t>
                            </w:r>
                            <w:r w:rsidR="004C6181">
                              <w:rPr>
                                <w:rFonts w:eastAsia="Times New Roman" w:cs="Arial"/>
                              </w:rPr>
                              <w:t xml:space="preserve">couche superficielle océanique tel que </w:t>
                            </w:r>
                            <w:r w:rsidR="00483F6E" w:rsidRPr="00E85B54">
                              <w:rPr>
                                <w:rFonts w:ascii="Symbol" w:eastAsia="Symbol" w:hAnsi="Symbol" w:cs="Symbol"/>
                              </w:rPr>
                              <w:t>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= 2,6.10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-4</w:t>
                            </w:r>
                            <w:r w:rsidR="00483F6E" w:rsidRPr="00E85B54">
                              <w:rPr>
                                <w:rFonts w:eastAsia="Times New Roman" w:cs="Arial"/>
                              </w:rPr>
                              <w:t xml:space="preserve"> °C</w:t>
                            </w:r>
                            <w:r w:rsidR="00483F6E" w:rsidRPr="00E85B54">
                              <w:rPr>
                                <w:rFonts w:eastAsia="Times New Roman" w:cs="Arial"/>
                                <w:vertAlign w:val="superscript"/>
                              </w:rPr>
                              <w:t>-1</w:t>
                            </w:r>
                            <w:r w:rsidR="004C6181" w:rsidRPr="004C6181">
                              <w:rPr>
                                <w:rFonts w:eastAsia="Times New Roman" w:cs="Arial"/>
                              </w:rPr>
                              <w:t>.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483F6E">
              <w:rPr>
                <w:rFonts w:eastAsia="Times New Roman" w:cs="Arial"/>
              </w:rPr>
              <w:t>Ainsi, si le volume V</w:t>
            </w:r>
            <w:r w:rsidRPr="00483F6E">
              <w:rPr>
                <w:rFonts w:eastAsia="Times New Roman" w:cs="Arial"/>
                <w:vertAlign w:val="subscript"/>
              </w:rPr>
              <w:t>0</w:t>
            </w:r>
            <w:r w:rsidRPr="00483F6E">
              <w:rPr>
                <w:rFonts w:eastAsia="Times New Roman" w:cs="Arial"/>
              </w:rPr>
              <w:t xml:space="preserve"> de l’océan subit une variation moyenne de température </w:t>
            </w:r>
            <w:r w:rsidRPr="00483F6E">
              <w:rPr>
                <w:rFonts w:ascii="Symbol" w:eastAsia="Symbol" w:hAnsi="Symbol" w:cs="Symbol"/>
              </w:rPr>
              <w:t></w:t>
            </w:r>
            <w:r w:rsidRPr="00483F6E">
              <w:rPr>
                <w:rFonts w:eastAsia="Times New Roman" w:cs="Arial"/>
              </w:rPr>
              <w:t xml:space="preserve">T, on peut calculer la variation de son volume, notée </w:t>
            </w:r>
            <w:r w:rsidRPr="00483F6E">
              <w:rPr>
                <w:rFonts w:ascii="Symbol" w:eastAsia="Symbol" w:hAnsi="Symbol" w:cs="Symbol"/>
              </w:rPr>
              <w:t></w:t>
            </w:r>
            <w:r w:rsidRPr="00483F6E">
              <w:rPr>
                <w:rFonts w:eastAsia="Times New Roman" w:cs="Arial"/>
              </w:rPr>
              <w:t xml:space="preserve">V, grâce au modèle mathématique suivant : </w:t>
            </w:r>
          </w:p>
          <w:p w:rsidR="00483F6E" w:rsidRPr="00483F6E" w:rsidRDefault="000659B4" w:rsidP="00704578">
            <w:pPr>
              <w:spacing w:before="120" w:after="120"/>
              <w:jc w:val="both"/>
              <w:rPr>
                <w:rFonts w:cs="Arial"/>
                <w:u w:val="single"/>
              </w:rPr>
            </w:pPr>
            <w:r w:rsidRPr="00483F6E">
              <w:rPr>
                <w:rFonts w:cs="Arial"/>
                <w:u w:val="single"/>
              </w:rPr>
              <w:t xml:space="preserve">Données et hypothèses de travail : </w:t>
            </w:r>
          </w:p>
          <w:p w:rsidR="00483F6E" w:rsidRPr="00483F6E" w:rsidRDefault="000659B4" w:rsidP="00704578">
            <w:pPr>
              <w:spacing w:after="120"/>
              <w:jc w:val="both"/>
              <w:rPr>
                <w:rFonts w:cs="Arial"/>
              </w:rPr>
            </w:pPr>
            <w:r w:rsidRPr="00483F6E">
              <w:rPr>
                <w:rFonts w:cs="Arial"/>
              </w:rPr>
              <w:t>- L’ensemble des océans du globe a une surface estimée à 3,6 × 10</w:t>
            </w:r>
            <w:r w:rsidRPr="00483F6E">
              <w:rPr>
                <w:rFonts w:cs="Arial"/>
                <w:vertAlign w:val="superscript"/>
              </w:rPr>
              <w:t>8</w:t>
            </w:r>
            <w:r>
              <w:rPr>
                <w:rFonts w:cs="Arial"/>
              </w:rPr>
              <w:t xml:space="preserve"> km².</w:t>
            </w:r>
          </w:p>
          <w:p w:rsidR="00483F6E" w:rsidRPr="00483F6E" w:rsidRDefault="000659B4" w:rsidP="00704578">
            <w:pPr>
              <w:spacing w:after="120"/>
              <w:jc w:val="both"/>
              <w:rPr>
                <w:rFonts w:cs="Arial"/>
              </w:rPr>
            </w:pPr>
            <w:r w:rsidRPr="00483F6E">
              <w:rPr>
                <w:rFonts w:cs="Arial"/>
              </w:rPr>
              <w:t>- Dans les scénarios les plus pessimistes, on pose l’hypothèse d’une augmentation de 3°C de l’atmosphère qui pourrait se répercuter sur l’océan. Dans cette hypothèse, on peut estimer que l’augmentation moyenne de température sur les 1000 premiers mèt</w:t>
            </w:r>
            <w:r w:rsidRPr="00483F6E">
              <w:rPr>
                <w:rFonts w:cs="Arial"/>
              </w:rPr>
              <w:t>res de profondeur est de 1,5°C.</w:t>
            </w:r>
          </w:p>
        </w:tc>
      </w:tr>
    </w:tbl>
    <w:p w:rsidR="00E43161" w:rsidRDefault="000659B4" w:rsidP="198D8AD9">
      <w:pPr>
        <w:ind w:left="709"/>
        <w:jc w:val="both"/>
        <w:rPr>
          <w:rFonts w:cs="Arial"/>
          <w:b/>
          <w:bCs/>
        </w:rPr>
      </w:pPr>
    </w:p>
    <w:p w:rsidR="00E43161" w:rsidRDefault="000659B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E43161" w:rsidRDefault="000659B4" w:rsidP="198D8AD9">
      <w:pPr>
        <w:ind w:left="709"/>
        <w:jc w:val="both"/>
        <w:rPr>
          <w:rFonts w:cs="Arial"/>
          <w:b/>
          <w:bCs/>
        </w:rPr>
      </w:pPr>
    </w:p>
    <w:p w:rsidR="00E43161" w:rsidRDefault="000659B4" w:rsidP="198D8AD9">
      <w:pPr>
        <w:ind w:left="709"/>
        <w:jc w:val="both"/>
        <w:rPr>
          <w:rFonts w:cs="Arial"/>
          <w:b/>
          <w:bCs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32726D" w:rsidRPr="0032726D" w:rsidTr="0032726D">
        <w:trPr>
          <w:trHeight w:val="6981"/>
          <w:jc w:val="center"/>
        </w:trPr>
        <w:tc>
          <w:tcPr>
            <w:tcW w:w="9065" w:type="dxa"/>
          </w:tcPr>
          <w:p w:rsidR="0032726D" w:rsidRPr="0032726D" w:rsidRDefault="000659B4" w:rsidP="0032726D">
            <w:pPr>
              <w:spacing w:before="120" w:after="120"/>
              <w:jc w:val="both"/>
              <w:rPr>
                <w:rFonts w:cs="Arial"/>
              </w:rPr>
            </w:pPr>
            <w:r w:rsidRPr="0032726D">
              <w:rPr>
                <w:rFonts w:cs="Arial"/>
                <w:b/>
                <w:bCs/>
              </w:rPr>
              <w:t>Document 4</w:t>
            </w:r>
            <w:r w:rsidRPr="0032726D">
              <w:rPr>
                <w:rFonts w:cs="Arial"/>
              </w:rPr>
              <w:t xml:space="preserve"> : schématisation de la thermocline</w:t>
            </w:r>
          </w:p>
          <w:p w:rsidR="0032726D" w:rsidRPr="0032726D" w:rsidRDefault="000659B4" w:rsidP="004D5678">
            <w:pPr>
              <w:jc w:val="both"/>
              <w:rPr>
                <w:rFonts w:eastAsia="Arial" w:cs="Arial"/>
                <w:color w:val="222222"/>
              </w:rPr>
            </w:pPr>
            <w:r w:rsidRPr="0032726D">
              <w:rPr>
                <w:rFonts w:eastAsia="Arial" w:cs="Arial"/>
                <w:color w:val="222222"/>
                <w:sz w:val="25"/>
                <w:szCs w:val="25"/>
              </w:rPr>
              <w:t xml:space="preserve">La </w:t>
            </w:r>
            <w:r w:rsidRPr="0032726D">
              <w:rPr>
                <w:rFonts w:eastAsia="Arial" w:cs="Arial"/>
                <w:b/>
                <w:bCs/>
                <w:color w:val="222222"/>
                <w:sz w:val="25"/>
                <w:szCs w:val="25"/>
              </w:rPr>
              <w:t>thermocline</w:t>
            </w:r>
            <w:r w:rsidRPr="0032726D">
              <w:rPr>
                <w:rFonts w:eastAsia="Arial" w:cs="Arial"/>
                <w:color w:val="222222"/>
                <w:sz w:val="25"/>
                <w:szCs w:val="25"/>
              </w:rPr>
              <w:t xml:space="preserve"> est une couche de transition thermique rapide entre les eaux superficielles (epipelagic zone) et les eaux profondes (deep water).</w:t>
            </w:r>
          </w:p>
          <w:p w:rsidR="0032726D" w:rsidRPr="0032726D" w:rsidRDefault="000659B4" w:rsidP="0032726D">
            <w:pPr>
              <w:pStyle w:val="zeta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32726D">
              <w:rPr>
                <w:noProof/>
              </w:rPr>
              <w:drawing>
                <wp:inline distT="0" distB="0" distL="0" distR="0" wp14:anchorId="24BC809C" wp14:editId="6E9E9CB0">
                  <wp:extent cx="3838409" cy="3648075"/>
                  <wp:effectExtent l="0" t="0" r="0" b="0"/>
                  <wp:docPr id="5" name="Image 12" descr="What is a Thermocline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What is a Thermocline?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grayscl/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59"/>
                          <a:stretch/>
                        </pic:blipFill>
                        <pic:spPr bwMode="auto">
                          <a:xfrm>
                            <a:off x="0" y="0"/>
                            <a:ext cx="3842446" cy="3651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2726D" w:rsidRPr="00C55054" w:rsidRDefault="000659B4" w:rsidP="00E43161">
            <w:pPr>
              <w:pStyle w:val="zeta"/>
              <w:shd w:val="clear" w:color="auto" w:fill="FFFFFF" w:themeFill="background1"/>
              <w:spacing w:before="240" w:beforeAutospacing="0" w:after="120" w:afterAutospacing="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C55054">
              <w:rPr>
                <w:rFonts w:ascii="Arial" w:hAnsi="Arial" w:cs="Arial"/>
                <w:i/>
                <w:sz w:val="22"/>
                <w:szCs w:val="22"/>
              </w:rPr>
              <w:t xml:space="preserve">D’après </w:t>
            </w:r>
            <w:hyperlink r:id="rId15" w:history="1">
              <w:r w:rsidRPr="00C55054">
                <w:rPr>
                  <w:rStyle w:val="Lienhypertexte"/>
                  <w:rFonts w:ascii="Arial" w:hAnsi="Arial" w:cs="Arial"/>
                  <w:i/>
                  <w:iCs/>
                  <w:color w:val="auto"/>
                  <w:sz w:val="22"/>
                  <w:szCs w:val="22"/>
                </w:rPr>
                <w:t>https://addhelium.com/wp-content/uploads/2020/11/original_1647485839.jpg</w:t>
              </w:r>
            </w:hyperlink>
            <w:r w:rsidRPr="00C5505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:rsidR="00C64D11" w:rsidRPr="002C501F" w:rsidRDefault="000659B4" w:rsidP="00C64D11">
      <w:pPr>
        <w:pStyle w:val="zet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</w:rPr>
      </w:pPr>
    </w:p>
    <w:p w:rsidR="003320A1" w:rsidRPr="00204949" w:rsidRDefault="000659B4" w:rsidP="00C64D11">
      <w:pPr>
        <w:jc w:val="center"/>
      </w:pPr>
      <w:r>
        <w:br w:type="page"/>
      </w:r>
    </w:p>
    <w:p w:rsidR="003539CE" w:rsidRPr="00A77456" w:rsidRDefault="000659B4" w:rsidP="003539C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539CE" w:rsidRPr="00A77456" w:rsidRDefault="000659B4" w:rsidP="003539C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539CE" w:rsidRPr="00D87AD1" w:rsidRDefault="000659B4" w:rsidP="003539CE">
      <w:pPr>
        <w:spacing w:after="120"/>
        <w:jc w:val="both"/>
        <w:rPr>
          <w:b/>
          <w:sz w:val="22"/>
        </w:rPr>
      </w:pPr>
      <w:r>
        <w:rPr>
          <w:b/>
          <w:sz w:val="28"/>
        </w:rPr>
        <w:t xml:space="preserve">La dengue, une maladie </w:t>
      </w:r>
      <w:r>
        <w:rPr>
          <w:b/>
          <w:sz w:val="28"/>
        </w:rPr>
        <w:t>transmise par les moustiques</w:t>
      </w:r>
    </w:p>
    <w:p w:rsidR="00E32F53" w:rsidRDefault="000659B4" w:rsidP="003539CE">
      <w:pPr>
        <w:spacing w:after="240"/>
      </w:pPr>
      <w:r w:rsidRPr="00D74F67">
        <w:rPr>
          <w:i/>
        </w:rPr>
        <w:t>Sur 10 points</w:t>
      </w:r>
    </w:p>
    <w:p w:rsidR="00357D30" w:rsidRPr="00357D30" w:rsidRDefault="000659B4" w:rsidP="00043A7E">
      <w:pPr>
        <w:spacing w:after="120"/>
        <w:jc w:val="both"/>
        <w:rPr>
          <w:rFonts w:cs="Arial"/>
        </w:rPr>
      </w:pPr>
      <w:r w:rsidRPr="67F6895D">
        <w:rPr>
          <w:rFonts w:cs="Arial"/>
        </w:rPr>
        <w:t>La dengue est une maladie virale transmise à l’être humain</w:t>
      </w:r>
      <w:r w:rsidRPr="67F6895D">
        <w:rPr>
          <w:rFonts w:cs="Arial"/>
        </w:rPr>
        <w:t xml:space="preserve"> par un moustique du genre Aedes. Ses symptômes les plus fréquents sont de la fièvre et des douleurs articulaires. Originaire des régions tropicales, la dengue a fait son apparition en France métropolitaine en 2010 et progresse depuis (51 départements touc</w:t>
      </w:r>
      <w:r w:rsidRPr="67F6895D">
        <w:rPr>
          <w:rFonts w:cs="Arial"/>
        </w:rPr>
        <w:t xml:space="preserve">hés en 2019 selon Santé Publique France). </w:t>
      </w:r>
      <w:r>
        <w:rPr>
          <w:rFonts w:cs="Arial"/>
        </w:rPr>
        <w:t xml:space="preserve"> </w:t>
      </w:r>
    </w:p>
    <w:p w:rsidR="00357D30" w:rsidRPr="002767C7" w:rsidRDefault="000659B4" w:rsidP="00043A7E">
      <w:pPr>
        <w:spacing w:after="360"/>
        <w:rPr>
          <w:rFonts w:cs="Arial"/>
        </w:rPr>
      </w:pPr>
      <w:r w:rsidRPr="002767C7">
        <w:rPr>
          <w:rFonts w:cs="Arial"/>
        </w:rPr>
        <w:t>On s’intéresse aux méthodes de dépistage et de prévention de cette maladie.</w:t>
      </w:r>
    </w:p>
    <w:p w:rsidR="00357D30" w:rsidRPr="00357D30" w:rsidRDefault="000659B4" w:rsidP="00043A7E">
      <w:pPr>
        <w:spacing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1- Le dépistage de la den</w:t>
      </w:r>
      <w:r>
        <w:rPr>
          <w:rFonts w:cs="Arial"/>
          <w:b/>
          <w:bCs/>
          <w:u w:val="single"/>
        </w:rPr>
        <w:t>gue dans une population humaine</w:t>
      </w:r>
    </w:p>
    <w:p w:rsidR="00357D30" w:rsidRPr="00043A7E" w:rsidRDefault="000659B4" w:rsidP="00043A7E">
      <w:pPr>
        <w:spacing w:after="120"/>
        <w:jc w:val="both"/>
        <w:rPr>
          <w:rFonts w:cs="Arial"/>
        </w:rPr>
      </w:pPr>
      <w:r w:rsidRPr="00043A7E">
        <w:rPr>
          <w:rFonts w:cs="Arial"/>
        </w:rPr>
        <w:t>Tout test de dépistage est caractérisé par :</w:t>
      </w:r>
    </w:p>
    <w:p w:rsidR="00357D30" w:rsidRPr="00043A7E" w:rsidRDefault="000659B4" w:rsidP="00043A7E">
      <w:pPr>
        <w:pStyle w:val="Paragraphedeliste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sensibilité : probabilit</w:t>
      </w:r>
      <w:r w:rsidRPr="00043A7E">
        <w:rPr>
          <w:rFonts w:ascii="Arial" w:hAnsi="Arial" w:cs="Arial"/>
          <w:sz w:val="24"/>
          <w:szCs w:val="24"/>
        </w:rPr>
        <w:t>é qu’un test soit positif quand la personne est atteinte ;</w:t>
      </w:r>
    </w:p>
    <w:p w:rsidR="00357D30" w:rsidRPr="00043A7E" w:rsidRDefault="000659B4" w:rsidP="00043A7E">
      <w:pPr>
        <w:pStyle w:val="Paragraphedelist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spécificité : probabilité qu’un test soit négatif quand une personne n’est pas atteinte (on dit aussi que la personne est saine).</w:t>
      </w:r>
    </w:p>
    <w:p w:rsidR="00357D30" w:rsidRPr="00357D30" w:rsidRDefault="000659B4" w:rsidP="00043A7E">
      <w:pPr>
        <w:spacing w:after="240"/>
        <w:jc w:val="both"/>
        <w:rPr>
          <w:rFonts w:cs="Arial"/>
          <w:b/>
          <w:bCs/>
          <w:u w:val="single"/>
        </w:rPr>
      </w:pPr>
      <w:r w:rsidRPr="00043A7E">
        <w:rPr>
          <w:rFonts w:cs="Arial"/>
        </w:rPr>
        <w:t>Un test de dépistage de la dengue est</w:t>
      </w:r>
      <w:r w:rsidRPr="00357D30">
        <w:rPr>
          <w:rFonts w:cs="Arial"/>
        </w:rPr>
        <w:t xml:space="preserve"> basé sur la détection de l</w:t>
      </w:r>
      <w:r w:rsidRPr="00357D30">
        <w:rPr>
          <w:rFonts w:cs="Arial"/>
        </w:rPr>
        <w:t xml:space="preserve">’antigène NS1 dans le sang. </w:t>
      </w:r>
      <w:r>
        <w:rPr>
          <w:rFonts w:cs="Arial"/>
        </w:rPr>
        <w:t>L</w:t>
      </w:r>
      <w:r w:rsidRPr="00357D30">
        <w:rPr>
          <w:rFonts w:cs="Arial"/>
        </w:rPr>
        <w:t>a notice</w:t>
      </w:r>
      <w:r>
        <w:rPr>
          <w:rFonts w:cs="Arial"/>
        </w:rPr>
        <w:t xml:space="preserve"> du test</w:t>
      </w:r>
      <w:r w:rsidRPr="00357D30">
        <w:rPr>
          <w:rFonts w:cs="Arial"/>
        </w:rPr>
        <w:t xml:space="preserve"> indique que sa sensibilité est de 97,7</w:t>
      </w:r>
      <w:r>
        <w:rPr>
          <w:rFonts w:cs="Arial"/>
        </w:rPr>
        <w:t> %.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58C5" w:rsidRPr="001B58C5" w:rsidTr="001B58C5">
        <w:trPr>
          <w:trHeight w:val="3945"/>
        </w:trPr>
        <w:tc>
          <w:tcPr>
            <w:tcW w:w="9060" w:type="dxa"/>
          </w:tcPr>
          <w:p w:rsidR="001B58C5" w:rsidRPr="001B58C5" w:rsidRDefault="000659B4" w:rsidP="001B58C5">
            <w:pPr>
              <w:spacing w:before="120" w:after="120"/>
              <w:jc w:val="both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b/>
                <w:bCs/>
                <w:u w:val="single"/>
              </w:rPr>
              <w:t>Document 1 : tableau de contingence pour le test</w:t>
            </w:r>
            <w:r>
              <w:rPr>
                <w:rFonts w:cs="Arial"/>
                <w:b/>
                <w:bCs/>
                <w:u w:val="single"/>
              </w:rPr>
              <w:t xml:space="preserve"> de détection de l’antigène NS1</w:t>
            </w:r>
          </w:p>
          <w:tbl>
            <w:tblPr>
              <w:tblStyle w:val="Grilledutableau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1530"/>
              <w:gridCol w:w="1924"/>
              <w:gridCol w:w="1924"/>
              <w:gridCol w:w="1924"/>
            </w:tblGrid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atteintes de la dengue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 w:firstLine="11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saines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positif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négatif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8 990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rPr>
                <w:trHeight w:val="591"/>
              </w:trPr>
              <w:tc>
                <w:tcPr>
                  <w:tcW w:w="1530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365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9 635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0659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10 000</w:t>
                  </w:r>
                </w:p>
              </w:tc>
            </w:tr>
          </w:tbl>
          <w:p w:rsidR="001B58C5" w:rsidRPr="001B58C5" w:rsidRDefault="000659B4" w:rsidP="001B58C5">
            <w:pPr>
              <w:spacing w:before="120" w:after="120"/>
              <w:jc w:val="right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sz w:val="20"/>
              </w:rPr>
              <w:t>Source : Haute autorité de santé</w:t>
            </w:r>
          </w:p>
        </w:tc>
      </w:tr>
    </w:tbl>
    <w:p w:rsidR="00DD0529" w:rsidRDefault="000659B4">
      <w:pPr>
        <w:spacing w:after="0" w:line="240" w:lineRule="auto"/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:rsidR="00357D30" w:rsidRPr="00357D30" w:rsidRDefault="000659B4" w:rsidP="00357D30">
      <w:pPr>
        <w:jc w:val="right"/>
        <w:rPr>
          <w:rFonts w:cs="Arial"/>
          <w:sz w:val="20"/>
        </w:rPr>
      </w:pPr>
    </w:p>
    <w:p w:rsidR="00357D30" w:rsidRPr="00DD0529" w:rsidRDefault="000659B4" w:rsidP="005401A6">
      <w:pPr>
        <w:spacing w:after="240"/>
        <w:jc w:val="both"/>
        <w:rPr>
          <w:rFonts w:cs="Arial"/>
        </w:rPr>
      </w:pPr>
      <w:r w:rsidRPr="67F6895D">
        <w:rPr>
          <w:rFonts w:cs="Arial"/>
          <w:b/>
          <w:bCs/>
        </w:rPr>
        <w:t>1-</w:t>
      </w:r>
      <w:r w:rsidRPr="67F6895D">
        <w:rPr>
          <w:rFonts w:cs="Arial"/>
        </w:rPr>
        <w:t xml:space="preserve"> Calculer, à partir du tableau de contingence, la spécificité du test de dépistage de la dengue.</w:t>
      </w:r>
    </w:p>
    <w:p w:rsidR="00357D30" w:rsidRPr="00DD0529" w:rsidRDefault="000659B4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  <w:bCs/>
        </w:rPr>
        <w:t xml:space="preserve">2- </w:t>
      </w:r>
      <w:r w:rsidRPr="00DD0529">
        <w:rPr>
          <w:rFonts w:cs="Arial"/>
        </w:rPr>
        <w:t xml:space="preserve">Recopier et compléter le tableau de contingence (arrondir au </w:t>
      </w:r>
      <w:r w:rsidRPr="00DD0529">
        <w:rPr>
          <w:rFonts w:cs="Arial"/>
        </w:rPr>
        <w:t>besoin à l’unité).</w:t>
      </w:r>
    </w:p>
    <w:p w:rsidR="00357D30" w:rsidRPr="00DD0529" w:rsidRDefault="000659B4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</w:rPr>
        <w:t xml:space="preserve">3- </w:t>
      </w:r>
      <w:r w:rsidRPr="00DD0529">
        <w:rPr>
          <w:rFonts w:cs="Arial"/>
          <w:bCs/>
        </w:rPr>
        <w:t>Une personne vient de se faire tester et son résultat est positif, calculer la probabilité que cette personne soit effectivement atteinte de la dengue.</w:t>
      </w:r>
    </w:p>
    <w:p w:rsidR="00357D30" w:rsidRPr="00357D30" w:rsidRDefault="000659B4" w:rsidP="002408B4">
      <w:pPr>
        <w:spacing w:before="600"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2 -</w:t>
      </w:r>
      <w:r>
        <w:rPr>
          <w:rFonts w:cs="Arial"/>
          <w:b/>
          <w:bCs/>
          <w:u w:val="single"/>
        </w:rPr>
        <w:t xml:space="preserve"> La lutte contre les moustiques</w:t>
      </w:r>
    </w:p>
    <w:p w:rsidR="00357D30" w:rsidRDefault="000659B4" w:rsidP="005401A6">
      <w:pPr>
        <w:spacing w:after="360"/>
        <w:jc w:val="both"/>
        <w:rPr>
          <w:rFonts w:cs="Arial"/>
        </w:rPr>
      </w:pPr>
      <w:r w:rsidRPr="00357D30">
        <w:rPr>
          <w:rFonts w:cs="Arial"/>
        </w:rPr>
        <w:t>Le virus de la dengue étant transmis par</w:t>
      </w:r>
      <w:r w:rsidRPr="00357D30">
        <w:rPr>
          <w:rFonts w:cs="Arial"/>
        </w:rPr>
        <w:t xml:space="preserve"> les moustiques, une des mesures de prévention consiste à diminuer le risque d’être piqué. Deux méthodes sont actuellement à l’étude avant leur mise sur le marché : un traitement homéopathique et un piège à CO</w:t>
      </w:r>
      <w:r w:rsidRPr="00357D30">
        <w:rPr>
          <w:rFonts w:cs="Arial"/>
          <w:vertAlign w:val="subscript"/>
        </w:rPr>
        <w:t>2</w:t>
      </w:r>
      <w:r w:rsidRPr="00357D30">
        <w:rPr>
          <w:rFonts w:cs="Arial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7D30" w:rsidRPr="00357D30" w:rsidTr="005401A6">
        <w:tc>
          <w:tcPr>
            <w:tcW w:w="9060" w:type="dxa"/>
          </w:tcPr>
          <w:p w:rsidR="00357D30" w:rsidRPr="00357D30" w:rsidRDefault="000659B4" w:rsidP="005401A6">
            <w:pPr>
              <w:spacing w:before="120" w:after="120"/>
              <w:jc w:val="both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>Document de référence (aucune exploitation n</w:t>
            </w:r>
            <w:r w:rsidRPr="00357D30">
              <w:rPr>
                <w:rFonts w:cs="Arial"/>
                <w:b/>
                <w:bCs/>
              </w:rPr>
              <w:t xml:space="preserve">’est </w:t>
            </w:r>
            <w:r>
              <w:rPr>
                <w:rFonts w:cs="Arial"/>
                <w:b/>
                <w:bCs/>
              </w:rPr>
              <w:t>demandée</w:t>
            </w:r>
            <w:r w:rsidRPr="00357D30">
              <w:rPr>
                <w:rFonts w:cs="Arial"/>
                <w:b/>
                <w:bCs/>
              </w:rPr>
              <w:t xml:space="preserve">) : </w:t>
            </w:r>
            <w:r>
              <w:rPr>
                <w:rFonts w:cs="Arial"/>
                <w:b/>
                <w:bCs/>
              </w:rPr>
              <w:t>m</w:t>
            </w:r>
            <w:r w:rsidRPr="00357D30">
              <w:rPr>
                <w:rFonts w:cs="Arial"/>
                <w:b/>
                <w:bCs/>
              </w:rPr>
              <w:t xml:space="preserve">esure de l’attractivité vis-à-vis des moustiques par le test du mollet </w:t>
            </w:r>
          </w:p>
          <w:p w:rsidR="00357D30" w:rsidRPr="00357D30" w:rsidRDefault="000659B4" w:rsidP="005401A6">
            <w:pPr>
              <w:spacing w:after="120"/>
              <w:jc w:val="both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Pr="00357D30">
              <w:rPr>
                <w:rFonts w:cs="Arial"/>
              </w:rPr>
              <w:t xml:space="preserve">e </w:t>
            </w:r>
            <w:r>
              <w:rPr>
                <w:rFonts w:cs="Arial"/>
              </w:rPr>
              <w:t>« </w:t>
            </w:r>
            <w:r w:rsidRPr="00357D30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 xml:space="preserve">du mollet » </w:t>
            </w:r>
            <w:r w:rsidRPr="00357D30">
              <w:rPr>
                <w:rFonts w:cs="Arial"/>
              </w:rPr>
              <w:t>consiste à demander à des individus d’exposer leur mollet aux moustiques</w:t>
            </w:r>
            <w:r>
              <w:rPr>
                <w:rFonts w:cs="Arial"/>
              </w:rPr>
              <w:t>, dans un même environnement peuplé d’un grand nombre de moustiques,</w:t>
            </w:r>
            <w:r w:rsidRPr="00357D30">
              <w:rPr>
                <w:rFonts w:cs="Arial"/>
              </w:rPr>
              <w:t xml:space="preserve"> pen</w:t>
            </w:r>
            <w:r w:rsidRPr="00357D30">
              <w:rPr>
                <w:rFonts w:cs="Arial"/>
              </w:rPr>
              <w:t>dant 15 minutes</w:t>
            </w:r>
            <w:r>
              <w:rPr>
                <w:rFonts w:cs="Arial"/>
              </w:rPr>
              <w:t>,</w:t>
            </w:r>
            <w:r w:rsidRPr="00357D30">
              <w:rPr>
                <w:rFonts w:cs="Arial"/>
              </w:rPr>
              <w:t xml:space="preserve"> et de capturer chaque moustique dès qu'il se pose sur le mollet pour tenter de le piquer. </w:t>
            </w:r>
          </w:p>
          <w:p w:rsidR="00357D30" w:rsidRPr="00357D30" w:rsidRDefault="000659B4" w:rsidP="005401A6">
            <w:pPr>
              <w:spacing w:after="12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On </w:t>
            </w:r>
            <w:r>
              <w:rPr>
                <w:rFonts w:cs="Arial"/>
              </w:rPr>
              <w:t>peut classer les personnes en 3 catégories</w:t>
            </w:r>
            <w:r w:rsidRPr="00357D30">
              <w:rPr>
                <w:rFonts w:cs="Arial"/>
              </w:rPr>
              <w:t xml:space="preserve"> en fonction de leur pouvoir d’attracti</w:t>
            </w:r>
            <w:r>
              <w:rPr>
                <w:rFonts w:cs="Arial"/>
              </w:rPr>
              <w:t xml:space="preserve">vité vis-à-vis </w:t>
            </w:r>
            <w:r w:rsidRPr="00357D30">
              <w:rPr>
                <w:rFonts w:cs="Arial"/>
              </w:rPr>
              <w:t>des moustiques :</w:t>
            </w:r>
          </w:p>
          <w:p w:rsidR="00357D30" w:rsidRPr="00DD0529" w:rsidRDefault="000659B4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>• </w:t>
            </w:r>
            <w:r w:rsidRPr="00DD0529">
              <w:rPr>
                <w:rFonts w:cs="Arial"/>
              </w:rPr>
              <w:t>Attractivité faible : une pers</w:t>
            </w:r>
            <w:r w:rsidRPr="00DD0529">
              <w:rPr>
                <w:rFonts w:cs="Arial"/>
              </w:rPr>
              <w:t>onne subit de 1 à 9 tentatives de piqûres en 15</w:t>
            </w:r>
            <w:r>
              <w:rPr>
                <w:rFonts w:cs="Arial"/>
              </w:rPr>
              <w:t> </w:t>
            </w:r>
            <w:r w:rsidRPr="00DD0529">
              <w:rPr>
                <w:rFonts w:cs="Arial"/>
              </w:rPr>
              <w:t>minutes ;</w:t>
            </w:r>
          </w:p>
          <w:p w:rsidR="00357D30" w:rsidRPr="00DD0529" w:rsidRDefault="000659B4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moyenne : une personne subit de 10 à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 xml:space="preserve">minutes ; </w:t>
            </w:r>
          </w:p>
          <w:p w:rsidR="00357D30" w:rsidRPr="00C12EAA" w:rsidRDefault="000659B4" w:rsidP="00C12EAA">
            <w:pPr>
              <w:spacing w:after="24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élevée : une personne subit plus de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>minutes.</w:t>
            </w:r>
          </w:p>
        </w:tc>
      </w:tr>
    </w:tbl>
    <w:p w:rsidR="00DD0529" w:rsidRDefault="000659B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704B3" w:rsidRDefault="000659B4">
      <w:pPr>
        <w:spacing w:after="0" w:line="240" w:lineRule="auto"/>
        <w:rPr>
          <w:rFonts w:cs="Arial"/>
          <w:b/>
          <w:bCs/>
        </w:rPr>
      </w:pPr>
    </w:p>
    <w:p w:rsidR="004704B3" w:rsidRDefault="000659B4">
      <w:pPr>
        <w:spacing w:after="0" w:line="240" w:lineRule="auto"/>
        <w:rPr>
          <w:rFonts w:cs="Arial"/>
          <w:b/>
          <w:bCs/>
        </w:rPr>
      </w:pPr>
    </w:p>
    <w:p w:rsidR="004704B3" w:rsidRDefault="000659B4">
      <w:pPr>
        <w:spacing w:after="0" w:line="240" w:lineRule="auto"/>
        <w:rPr>
          <w:rFonts w:cs="Arial"/>
          <w:b/>
          <w:bCs/>
        </w:rPr>
      </w:pPr>
    </w:p>
    <w:tbl>
      <w:tblPr>
        <w:tblStyle w:val="Grilledutableau"/>
        <w:tblW w:w="10124" w:type="dxa"/>
        <w:tblInd w:w="-5" w:type="dxa"/>
        <w:tblLook w:val="04A0" w:firstRow="1" w:lastRow="0" w:firstColumn="1" w:lastColumn="0" w:noHBand="0" w:noVBand="1"/>
      </w:tblPr>
      <w:tblGrid>
        <w:gridCol w:w="10124"/>
      </w:tblGrid>
      <w:tr w:rsidR="00357D30" w:rsidRPr="00357D30" w:rsidTr="004704B3">
        <w:trPr>
          <w:trHeight w:val="8505"/>
        </w:trPr>
        <w:tc>
          <w:tcPr>
            <w:tcW w:w="10124" w:type="dxa"/>
          </w:tcPr>
          <w:p w:rsidR="00357D30" w:rsidRPr="00357D30" w:rsidRDefault="000659B4" w:rsidP="002408B4">
            <w:pPr>
              <w:spacing w:before="120" w:after="120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 2 : </w:t>
            </w:r>
            <w:r>
              <w:rPr>
                <w:rFonts w:cs="Arial"/>
                <w:b/>
                <w:bCs/>
              </w:rPr>
              <w:t>u</w:t>
            </w:r>
            <w:r w:rsidRPr="00357D30">
              <w:rPr>
                <w:rFonts w:cs="Arial"/>
                <w:b/>
                <w:bCs/>
              </w:rPr>
              <w:t>n traitement homéopathique pour éloigner les moustiques</w:t>
            </w:r>
          </w:p>
          <w:p w:rsidR="007A5B73" w:rsidRPr="002408B4" w:rsidRDefault="000659B4" w:rsidP="002408B4">
            <w:pPr>
              <w:spacing w:before="120" w:after="24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>En Camargue</w:t>
            </w:r>
            <w:r>
              <w:rPr>
                <w:rFonts w:cs="Arial"/>
              </w:rPr>
              <w:t xml:space="preserve"> (dans le sud de la France)</w:t>
            </w:r>
            <w:r w:rsidRPr="00357D30">
              <w:rPr>
                <w:rFonts w:cs="Arial"/>
              </w:rPr>
              <w:t>, pendant l’été 2014, deux groupes de volontaires ayant la même attractivité vis-à-vis des moustiques ont accepté de tester l'efficacité du traiteme</w:t>
            </w:r>
            <w:r w:rsidRPr="00357D30">
              <w:rPr>
                <w:rFonts w:cs="Arial"/>
              </w:rPr>
              <w:t xml:space="preserve">nt : </w:t>
            </w:r>
            <w:r>
              <w:rPr>
                <w:rFonts w:cs="Arial"/>
              </w:rPr>
              <w:t xml:space="preserve">juste avant l’expérience, </w:t>
            </w:r>
            <w:r w:rsidRPr="00357D30">
              <w:rPr>
                <w:rFonts w:cs="Arial"/>
              </w:rPr>
              <w:t>les membres du premier groupe ont reçu le traitement</w:t>
            </w:r>
            <w:r>
              <w:rPr>
                <w:rFonts w:cs="Arial"/>
              </w:rPr>
              <w:t xml:space="preserve"> homéopathique</w:t>
            </w:r>
            <w:r w:rsidRPr="00357D30">
              <w:rPr>
                <w:rFonts w:cs="Arial"/>
              </w:rPr>
              <w:t>, les membres du second groupe un placébo</w:t>
            </w:r>
            <w:r>
              <w:rPr>
                <w:rFonts w:cs="Arial"/>
              </w:rPr>
              <w:t xml:space="preserve"> (constituant le groupe témoin)</w:t>
            </w:r>
            <w:r w:rsidRPr="00357D30">
              <w:rPr>
                <w:rFonts w:cs="Arial"/>
              </w:rPr>
              <w:t>.</w:t>
            </w:r>
          </w:p>
          <w:p w:rsidR="00EF2F39" w:rsidRDefault="000659B4" w:rsidP="002408B4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F2F39">
              <w:rPr>
                <w:rFonts w:ascii="Arial" w:hAnsi="Arial" w:cs="Arial"/>
                <w:u w:val="single"/>
              </w:rPr>
              <w:t>Résultats du test du mollet sur les deux groupes de volontaires</w:t>
            </w:r>
            <w:r w:rsidRPr="00357D30">
              <w:rPr>
                <w:rFonts w:ascii="Arial" w:hAnsi="Arial" w:cs="Arial"/>
              </w:rPr>
              <w:t xml:space="preserve">  </w:t>
            </w:r>
          </w:p>
          <w:p w:rsidR="002030C6" w:rsidRDefault="000659B4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sujets qualifié</w:t>
            </w:r>
            <w:r w:rsidRPr="00357D30">
              <w:rPr>
                <w:rFonts w:ascii="Arial" w:hAnsi="Arial" w:cs="Arial"/>
              </w:rPr>
              <w:t>s de « traités » ont re</w:t>
            </w:r>
            <w:r>
              <w:rPr>
                <w:rFonts w:ascii="Arial" w:hAnsi="Arial" w:cs="Arial"/>
              </w:rPr>
              <w:t>çu le traitement homéopathique,</w:t>
            </w:r>
            <w:r>
              <w:rPr>
                <w:rFonts w:ascii="Arial" w:hAnsi="Arial" w:cs="Arial"/>
              </w:rPr>
              <w:br/>
            </w:r>
            <w:r w:rsidRPr="00357D30">
              <w:rPr>
                <w:rFonts w:ascii="Arial" w:hAnsi="Arial" w:cs="Arial"/>
              </w:rPr>
              <w:t>les sujets « non traités </w:t>
            </w:r>
            <w:r>
              <w:rPr>
                <w:rFonts w:ascii="Arial" w:hAnsi="Arial" w:cs="Arial"/>
              </w:rPr>
              <w:t>» le placébo.</w:t>
            </w:r>
          </w:p>
          <w:p w:rsidR="00357D30" w:rsidRPr="00357D30" w:rsidRDefault="000659B4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noProof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</w:t>
            </w:r>
            <w:r w:rsidRPr="00357D30">
              <w:rPr>
                <w:rFonts w:ascii="Arial" w:hAnsi="Arial" w:cs="Arial"/>
              </w:rPr>
              <w:t>%</w:t>
            </w:r>
            <w:r>
              <w:rPr>
                <w:rFonts w:ascii="Arial" w:hAnsi="Arial" w:cs="Arial"/>
                <w:noProof/>
              </w:rPr>
              <w:t>.</w:t>
            </w:r>
          </w:p>
          <w:p w:rsidR="00357D30" w:rsidRPr="00357D30" w:rsidRDefault="000659B4" w:rsidP="002030C6">
            <w:pPr>
              <w:pStyle w:val="Paragraphedeliste"/>
              <w:spacing w:before="120" w:after="120"/>
              <w:ind w:left="-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2D6A94" wp14:editId="172D6A95">
                      <wp:simplePos x="0" y="0"/>
                      <wp:positionH relativeFrom="column">
                        <wp:posOffset>3119298</wp:posOffset>
                      </wp:positionH>
                      <wp:positionV relativeFrom="paragraph">
                        <wp:posOffset>438049</wp:posOffset>
                      </wp:positionV>
                      <wp:extent cx="775411" cy="490118"/>
                      <wp:effectExtent l="38100" t="0" r="24765" b="62865"/>
                      <wp:wrapNone/>
                      <wp:docPr id="6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75411" cy="4901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1A32C89F">
                      <v:path fillok="f" arrowok="t" o:connecttype="none"/>
                      <o:lock v:ext="edit" shapetype="t"/>
                    </v:shapetype>
                    <v:shape id="Connecteur droit avec flèche 11" style="position:absolute;margin-left:245.6pt;margin-top:34.5pt;width:61.05pt;height:38.6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72D6A96" wp14:editId="172D6A97">
                      <wp:simplePos x="0" y="0"/>
                      <wp:positionH relativeFrom="column">
                        <wp:posOffset>3054350</wp:posOffset>
                      </wp:positionH>
                      <wp:positionV relativeFrom="paragraph">
                        <wp:posOffset>306756</wp:posOffset>
                      </wp:positionV>
                      <wp:extent cx="841248" cy="277977"/>
                      <wp:effectExtent l="38100" t="0" r="16510" b="65405"/>
                      <wp:wrapNone/>
                      <wp:docPr id="7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1248" cy="2779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10" style="position:absolute;margin-left:240.5pt;margin-top:24.15pt;width:66.25pt;height:21.9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" w14:anchorId="72D63E88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172D6A98" wp14:editId="172D6A99">
                  <wp:extent cx="4166870" cy="3190646"/>
                  <wp:effectExtent l="0" t="0" r="5080" b="0"/>
                  <wp:docPr id="8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685" cy="320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D43FC">
              <w:rPr>
                <w:rFonts w:cs="Arial"/>
                <w:noProof/>
              </w:rPr>
              <w:t xml:space="preserve"> </w:t>
            </w:r>
          </w:p>
          <w:p w:rsidR="00357D30" w:rsidRPr="00357D30" w:rsidRDefault="000659B4" w:rsidP="002408B4">
            <w:pPr>
              <w:pStyle w:val="Paragraphedeliste"/>
              <w:spacing w:before="120" w:after="120"/>
              <w:jc w:val="right"/>
              <w:rPr>
                <w:rFonts w:ascii="Arial" w:hAnsi="Arial" w:cs="Arial"/>
              </w:rPr>
            </w:pPr>
            <w:r w:rsidRPr="002030C6">
              <w:rPr>
                <w:rFonts w:ascii="Arial" w:hAnsi="Arial" w:cs="Arial"/>
                <w:sz w:val="20"/>
              </w:rPr>
              <w:t>D’après le site du parc de Camargue</w:t>
            </w:r>
          </w:p>
        </w:tc>
      </w:tr>
    </w:tbl>
    <w:p w:rsidR="000021C2" w:rsidRDefault="000659B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357D30" w:rsidRPr="00357D30" w:rsidRDefault="000659B4" w:rsidP="00357D30">
      <w:pPr>
        <w:rPr>
          <w:rFonts w:cs="Arial"/>
          <w:b/>
          <w:bCs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357D30" w:rsidRPr="00357D30" w:rsidTr="00357D30">
        <w:tc>
          <w:tcPr>
            <w:tcW w:w="9065" w:type="dxa"/>
          </w:tcPr>
          <w:p w:rsidR="00357D30" w:rsidRPr="00357D30" w:rsidRDefault="000659B4" w:rsidP="00CA4F0C">
            <w:pPr>
              <w:spacing w:before="120" w:after="120"/>
              <w:rPr>
                <w:rFonts w:cs="Arial"/>
              </w:rPr>
            </w:pPr>
            <w:r w:rsidRPr="00357D30">
              <w:rPr>
                <w:rFonts w:cs="Arial"/>
                <w:b/>
                <w:bCs/>
              </w:rPr>
              <w:t xml:space="preserve">Document 3 : </w:t>
            </w:r>
            <w:r>
              <w:rPr>
                <w:rFonts w:cs="Arial"/>
                <w:b/>
                <w:bCs/>
              </w:rPr>
              <w:t>u</w:t>
            </w:r>
            <w:r w:rsidRPr="002767C7">
              <w:rPr>
                <w:rFonts w:cs="Arial"/>
                <w:b/>
                <w:bCs/>
              </w:rPr>
              <w:t xml:space="preserve">ne méthode </w:t>
            </w:r>
            <w:r>
              <w:rPr>
                <w:rFonts w:cs="Arial"/>
                <w:b/>
                <w:bCs/>
              </w:rPr>
              <w:t>utilisant des</w:t>
            </w:r>
            <w:r w:rsidRPr="002767C7">
              <w:rPr>
                <w:rFonts w:cs="Arial"/>
                <w:b/>
                <w:bCs/>
              </w:rPr>
              <w:t xml:space="preserve"> pièges à CO</w:t>
            </w:r>
            <w:r w:rsidRPr="002767C7">
              <w:rPr>
                <w:rFonts w:cs="Arial"/>
                <w:b/>
                <w:bCs/>
                <w:vertAlign w:val="subscript"/>
              </w:rPr>
              <w:t>2</w:t>
            </w:r>
            <w:r w:rsidRPr="002767C7">
              <w:rPr>
                <w:rFonts w:cs="Arial"/>
                <w:b/>
              </w:rPr>
              <w:t>.</w:t>
            </w:r>
          </w:p>
          <w:p w:rsidR="00357D30" w:rsidRPr="00357D30" w:rsidRDefault="000659B4" w:rsidP="00CA4F0C">
            <w:pPr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Les pièges à </w:t>
            </w:r>
            <w:r>
              <w:rPr>
                <w:rFonts w:cs="Arial"/>
              </w:rPr>
              <w:t>dioxyde de carbone (</w:t>
            </w:r>
            <w:r w:rsidRPr="00357D30">
              <w:rPr>
                <w:rFonts w:cs="Arial"/>
              </w:rPr>
              <w:t>CO</w:t>
            </w:r>
            <w:r w:rsidRPr="00357D30">
              <w:rPr>
                <w:rFonts w:cs="Arial"/>
                <w:vertAlign w:val="subscript"/>
              </w:rPr>
              <w:t>2</w:t>
            </w:r>
            <w:r w:rsidRPr="007A5B73">
              <w:rPr>
                <w:rFonts w:cs="Arial"/>
              </w:rPr>
              <w:t>)</w:t>
            </w:r>
            <w:r w:rsidRPr="00357D30">
              <w:rPr>
                <w:rFonts w:cs="Arial"/>
                <w:vertAlign w:val="subscript"/>
              </w:rPr>
              <w:t xml:space="preserve"> </w:t>
            </w:r>
            <w:r w:rsidRPr="00357D30">
              <w:rPr>
                <w:rFonts w:cs="Arial"/>
              </w:rPr>
              <w:t>sont constitués d’un diffuseur de CO</w:t>
            </w:r>
            <w:r w:rsidRPr="00357D30">
              <w:rPr>
                <w:rFonts w:cs="Arial"/>
                <w:vertAlign w:val="subscript"/>
              </w:rPr>
              <w:t xml:space="preserve">2 </w:t>
            </w:r>
            <w:r w:rsidRPr="00357D30">
              <w:rPr>
                <w:rFonts w:cs="Arial"/>
              </w:rPr>
              <w:t>et d’une cuve</w:t>
            </w:r>
            <w:r>
              <w:rPr>
                <w:rFonts w:cs="Arial"/>
              </w:rPr>
              <w:t>. L</w:t>
            </w:r>
            <w:r w:rsidRPr="00357D30">
              <w:rPr>
                <w:rFonts w:cs="Arial"/>
              </w:rPr>
              <w:t xml:space="preserve">es moustiques qui entrent </w:t>
            </w:r>
            <w:r>
              <w:rPr>
                <w:rFonts w:cs="Arial"/>
              </w:rPr>
              <w:t xml:space="preserve">dans la cuve </w:t>
            </w:r>
            <w:r w:rsidRPr="00357D30">
              <w:rPr>
                <w:rFonts w:cs="Arial"/>
              </w:rPr>
              <w:t xml:space="preserve">sont piégés. </w:t>
            </w:r>
            <w:r>
              <w:rPr>
                <w:rFonts w:cs="Arial"/>
              </w:rPr>
              <w:t>Des</w:t>
            </w:r>
            <w:r w:rsidRPr="00357D30">
              <w:rPr>
                <w:rFonts w:cs="Arial"/>
              </w:rPr>
              <w:t xml:space="preserve"> groupes de volontaires </w:t>
            </w:r>
            <w:r>
              <w:rPr>
                <w:rFonts w:cs="Arial"/>
              </w:rPr>
              <w:t>ayant la même attractivité</w:t>
            </w:r>
            <w:r w:rsidRPr="00357D30">
              <w:rPr>
                <w:rFonts w:cs="Arial"/>
              </w:rPr>
              <w:t xml:space="preserve"> vis-à-vis des moustiques, sont constitués : </w:t>
            </w:r>
            <w:r>
              <w:rPr>
                <w:rFonts w:cs="Arial"/>
              </w:rPr>
              <w:t xml:space="preserve">pour chaque type d’attractivité, </w:t>
            </w:r>
            <w:r w:rsidRPr="00357D30">
              <w:rPr>
                <w:rFonts w:cs="Arial"/>
              </w:rPr>
              <w:t xml:space="preserve">l’un </w:t>
            </w:r>
            <w:r>
              <w:rPr>
                <w:rFonts w:cs="Arial"/>
              </w:rPr>
              <w:t xml:space="preserve">des groupes </w:t>
            </w:r>
            <w:r w:rsidRPr="00357D30">
              <w:rPr>
                <w:rFonts w:cs="Arial"/>
              </w:rPr>
              <w:t>est placé à proximité d’un piège à CO</w:t>
            </w:r>
            <w:r w:rsidRPr="00357D30">
              <w:rPr>
                <w:rFonts w:cs="Arial"/>
                <w:vertAlign w:val="subscript"/>
              </w:rPr>
              <w:t>2</w:t>
            </w:r>
            <w:r w:rsidRPr="00357D30">
              <w:rPr>
                <w:rFonts w:cs="Arial"/>
              </w:rPr>
              <w:t xml:space="preserve">, l’autre dans une zone sans piège.   </w:t>
            </w:r>
          </w:p>
          <w:p w:rsidR="00EF2F39" w:rsidRPr="00EF2F39" w:rsidRDefault="000659B4" w:rsidP="00CA4F0C">
            <w:pPr>
              <w:pStyle w:val="Paragraphedeliste"/>
              <w:spacing w:after="120"/>
              <w:contextualSpacing w:val="0"/>
              <w:jc w:val="center"/>
              <w:rPr>
                <w:rFonts w:ascii="Arial" w:hAnsi="Arial" w:cs="Arial"/>
                <w:u w:val="single"/>
              </w:rPr>
            </w:pPr>
            <w:r w:rsidRPr="00EF2F39">
              <w:rPr>
                <w:rFonts w:ascii="Arial" w:hAnsi="Arial" w:cs="Arial"/>
                <w:u w:val="single"/>
              </w:rPr>
              <w:t xml:space="preserve">Résultats du test du mollet sur les </w:t>
            </w:r>
            <w:r>
              <w:rPr>
                <w:rFonts w:ascii="Arial" w:hAnsi="Arial" w:cs="Arial"/>
                <w:u w:val="single"/>
              </w:rPr>
              <w:t>différents</w:t>
            </w:r>
            <w:r w:rsidRPr="00EF2F39">
              <w:rPr>
                <w:rFonts w:ascii="Arial" w:hAnsi="Arial" w:cs="Arial"/>
                <w:u w:val="single"/>
              </w:rPr>
              <w:t xml:space="preserve"> groupes de volontaires </w:t>
            </w:r>
          </w:p>
          <w:p w:rsidR="00357D30" w:rsidRPr="00357D30" w:rsidRDefault="000659B4" w:rsidP="00357D30">
            <w:pPr>
              <w:pStyle w:val="Paragraphedeliste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barres ve</w:t>
            </w:r>
            <w:r w:rsidRPr="00357D30">
              <w:rPr>
                <w:rFonts w:ascii="Arial" w:hAnsi="Arial" w:cs="Arial"/>
              </w:rPr>
              <w:t>rticales indiquent les intervalles de confiance à 95</w:t>
            </w:r>
            <w:r>
              <w:rPr>
                <w:rFonts w:ascii="Arial" w:hAnsi="Arial" w:cs="Arial"/>
              </w:rPr>
              <w:t> %.</w:t>
            </w:r>
          </w:p>
          <w:p w:rsidR="00357D30" w:rsidRPr="00357D30" w:rsidRDefault="000659B4" w:rsidP="00357D30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72D6A9A" wp14:editId="172D6A9B">
                      <wp:simplePos x="0" y="0"/>
                      <wp:positionH relativeFrom="column">
                        <wp:posOffset>2564232</wp:posOffset>
                      </wp:positionH>
                      <wp:positionV relativeFrom="paragraph">
                        <wp:posOffset>628091</wp:posOffset>
                      </wp:positionV>
                      <wp:extent cx="1331366" cy="1536192"/>
                      <wp:effectExtent l="0" t="0" r="78740" b="64135"/>
                      <wp:wrapNone/>
                      <wp:docPr id="9" name="Connecteur droit avec flèch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1366" cy="15361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9" style="position:absolute;margin-left:201.9pt;margin-top:49.45pt;width:104.85pt;height:12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" w14:anchorId="4A52BEB2">
                      <v:stroke endarrow="block"/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72D6A9C" wp14:editId="172D6A9D">
                      <wp:simplePos x="0" y="0"/>
                      <wp:positionH relativeFrom="column">
                        <wp:posOffset>2534971</wp:posOffset>
                      </wp:positionH>
                      <wp:positionV relativeFrom="paragraph">
                        <wp:posOffset>328168</wp:posOffset>
                      </wp:positionV>
                      <wp:extent cx="1550822" cy="680314"/>
                      <wp:effectExtent l="0" t="0" r="49530" b="62865"/>
                      <wp:wrapNone/>
                      <wp:docPr id="10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0822" cy="6803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3" style="position:absolute;margin-left:199.6pt;margin-top:25.85pt;width:122.1pt;height: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" w14:anchorId="1F1E0477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cs="Arial"/>
                <w:noProof/>
              </w:rPr>
              <w:drawing>
                <wp:inline distT="0" distB="0" distL="0" distR="0" wp14:anchorId="172D6A9E" wp14:editId="172D6A9F">
                  <wp:extent cx="4293589" cy="3276600"/>
                  <wp:effectExtent l="0" t="0" r="0" b="0"/>
                  <wp:docPr id="11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414" cy="328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D30" w:rsidRPr="002767C7" w:rsidRDefault="000659B4" w:rsidP="00CA4F0C">
            <w:pPr>
              <w:spacing w:after="120"/>
              <w:jc w:val="right"/>
              <w:rPr>
                <w:rFonts w:cs="Arial"/>
                <w:color w:val="0000FF"/>
                <w:u w:val="single"/>
              </w:rPr>
            </w:pPr>
            <w:r w:rsidRPr="00CA4F0C">
              <w:rPr>
                <w:rFonts w:cs="Arial"/>
                <w:sz w:val="20"/>
              </w:rPr>
              <w:t>D’après le site du parc de Camargue</w:t>
            </w:r>
            <w:r w:rsidRPr="00357D30">
              <w:rPr>
                <w:rFonts w:cs="Arial"/>
              </w:rPr>
              <w:t xml:space="preserve"> </w:t>
            </w:r>
          </w:p>
        </w:tc>
      </w:tr>
    </w:tbl>
    <w:p w:rsidR="00357D30" w:rsidRPr="00357D30" w:rsidRDefault="000659B4" w:rsidP="00CA4F0C">
      <w:pPr>
        <w:spacing w:after="240"/>
        <w:jc w:val="center"/>
        <w:rPr>
          <w:rFonts w:cs="Arial"/>
        </w:rPr>
      </w:pPr>
    </w:p>
    <w:p w:rsidR="00357D30" w:rsidRPr="00DD0529" w:rsidRDefault="000659B4" w:rsidP="00CA4F0C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4- </w:t>
      </w:r>
      <w:r w:rsidRPr="00DD0529">
        <w:rPr>
          <w:rFonts w:cs="Arial"/>
        </w:rPr>
        <w:t xml:space="preserve">En vous appuyant sur l’étude des documents 2 et 3, </w:t>
      </w:r>
      <w:r>
        <w:rPr>
          <w:rFonts w:cs="Arial"/>
        </w:rPr>
        <w:t>comparer</w:t>
      </w:r>
      <w:r w:rsidRPr="00DD0529">
        <w:rPr>
          <w:rFonts w:cs="Arial"/>
        </w:rPr>
        <w:t xml:space="preserve"> l’efficacité de chacune des deux méthodes (traitement homéopathique et piège à CO</w:t>
      </w:r>
      <w:r w:rsidRPr="00DD0529">
        <w:rPr>
          <w:rFonts w:cs="Arial"/>
          <w:vertAlign w:val="subscript"/>
        </w:rPr>
        <w:t>2</w:t>
      </w:r>
      <w:r w:rsidRPr="00DD0529">
        <w:rPr>
          <w:rFonts w:cs="Arial"/>
        </w:rPr>
        <w:t>)</w:t>
      </w:r>
      <w:r w:rsidRPr="00DD0529">
        <w:rPr>
          <w:rFonts w:cs="Arial"/>
        </w:rPr>
        <w:t xml:space="preserve"> comme moyen de protection contre la dengue.</w:t>
      </w:r>
      <w:r w:rsidRPr="00DD0529">
        <w:rPr>
          <w:rFonts w:cs="Arial"/>
          <w:b/>
          <w:bCs/>
        </w:rPr>
        <w:t xml:space="preserve"> </w:t>
      </w:r>
    </w:p>
    <w:sectPr w:rsidR="00357D30" w:rsidRPr="00DD0529" w:rsidSect="00E61EB3">
      <w:headerReference w:type="even" r:id="rId18"/>
      <w:headerReference w:type="default" r:id="rId19"/>
      <w:footerReference w:type="even" r:id="rId20"/>
      <w:footerReference w:type="default" r:id="rId2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3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659B4" w:rsidRPr="000659B4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659B4" w:rsidRPr="000659B4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659B4" w:rsidRPr="000659B4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659B4" w:rsidRPr="000659B4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5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4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B2591"/>
    <w:multiLevelType w:val="hybridMultilevel"/>
    <w:tmpl w:val="E9062F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659B4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zeta">
    <w:name w:val="zeta"/>
    <w:basedOn w:val="Normal"/>
    <w:rsid w:val="00C64D11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styleId="Accentuation">
    <w:name w:val="Emphasis"/>
    <w:basedOn w:val="Policepardfaut"/>
    <w:uiPriority w:val="20"/>
    <w:qFormat/>
    <w:rsid w:val="00C64D11"/>
    <w:rPr>
      <w:i/>
      <w:iCs/>
    </w:rPr>
  </w:style>
  <w:style w:type="character" w:styleId="Lienhypertexte">
    <w:name w:val="Hyperlink"/>
    <w:basedOn w:val="Policepardfaut"/>
    <w:uiPriority w:val="99"/>
    <w:unhideWhenUsed/>
    <w:rsid w:val="006456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cnrs.fr/cw/dossiers/dospoles/alternative13.htm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yperlink" Target="https://addhelium.com/wp-content/uploads/2020/11/original_1647485839.jp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1701</Words>
  <Characters>9358</Characters>
  <Application>Microsoft Office Word</Application>
  <DocSecurity>0</DocSecurity>
  <Lines>77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