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980C2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980C26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0C2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0C2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980C26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980C26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980C26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980C2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980C26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980C2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980C26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0C2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0C2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0C2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980C2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980C2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980C2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980C26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980C26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980C26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980C26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980C26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8</w:t>
            </w:r>
            <w:r w:rsidR="00980C26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980C26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980C26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901C4E" w:rsidRPr="00A77456" w:rsidRDefault="00980C26" w:rsidP="00901C4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901C4E" w:rsidRPr="00A77456" w:rsidRDefault="00980C26" w:rsidP="00901C4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901C4E" w:rsidRPr="00D87AD1" w:rsidRDefault="00980C26" w:rsidP="00901C4E">
      <w:pPr>
        <w:spacing w:after="120"/>
        <w:jc w:val="both"/>
        <w:rPr>
          <w:b/>
          <w:sz w:val="22"/>
        </w:rPr>
      </w:pPr>
      <w:r>
        <w:rPr>
          <w:b/>
          <w:sz w:val="28"/>
        </w:rPr>
        <w:t>Éolienne, un choix d’avenir ?</w:t>
      </w:r>
    </w:p>
    <w:p w:rsidR="00E32F53" w:rsidRDefault="00980C26" w:rsidP="00D26EB3">
      <w:pPr>
        <w:spacing w:after="360"/>
      </w:pPr>
      <w:r w:rsidRPr="00D74F67">
        <w:rPr>
          <w:i/>
        </w:rPr>
        <w:t>Sur 10 points</w:t>
      </w:r>
    </w:p>
    <w:p w:rsidR="00F82FF7" w:rsidRPr="00F82FF7" w:rsidRDefault="00980C26" w:rsidP="00F82FF7">
      <w:pPr>
        <w:jc w:val="both"/>
        <w:rPr>
          <w:rFonts w:cs="Arial"/>
        </w:rPr>
      </w:pPr>
      <w:r w:rsidRPr="00F82FF7">
        <w:rPr>
          <w:rFonts w:cs="Arial"/>
        </w:rPr>
        <w:t xml:space="preserve">Le choix de la France pour produire son </w:t>
      </w:r>
      <w:r w:rsidRPr="00F82FF7">
        <w:rPr>
          <w:rFonts w:cs="Arial"/>
        </w:rPr>
        <w:t>énergie électrique s’est tourné vers le nucléaire mais les impacts négatifs liés notamment au traitement des déchets radioactifs nous amènent à nous interroger sur nos futurs choix énergétiques, en particulier sur l’utilisation des énergies renouvelables c</w:t>
      </w:r>
      <w:r w:rsidRPr="00F82FF7">
        <w:rPr>
          <w:rFonts w:cs="Arial"/>
        </w:rPr>
        <w:t>omme l’éolien.</w:t>
      </w:r>
      <w:r>
        <w:rPr>
          <w:rFonts w:cs="Arial"/>
        </w:rPr>
        <w:t xml:space="preserve"> </w:t>
      </w:r>
    </w:p>
    <w:p w:rsidR="00FC5CC4" w:rsidRDefault="00980C26" w:rsidP="008674B0">
      <w:pPr>
        <w:spacing w:before="360" w:after="240"/>
        <w:jc w:val="both"/>
        <w:rPr>
          <w:b/>
        </w:rPr>
      </w:pPr>
      <w:r w:rsidRPr="00FC5CC4">
        <w:rPr>
          <w:b/>
        </w:rPr>
        <w:t>Partie A</w:t>
      </w:r>
      <w:r>
        <w:rPr>
          <w:b/>
        </w:rPr>
        <w:t> - La production d’énergie électrique française</w:t>
      </w:r>
    </w:p>
    <w:p w:rsidR="0096328E" w:rsidRPr="00F82FF7" w:rsidRDefault="00980C26" w:rsidP="002A7864">
      <w:pPr>
        <w:jc w:val="both"/>
        <w:rPr>
          <w:rStyle w:val="Lienhypertexte"/>
          <w:rFonts w:cs="Arial"/>
          <w:color w:val="auto"/>
          <w:u w:val="none"/>
        </w:rPr>
      </w:pPr>
      <w:r w:rsidRPr="00F82FF7">
        <w:rPr>
          <w:rFonts w:cs="Arial"/>
        </w:rPr>
        <w:t xml:space="preserve">En 2019, l’éolien a compté pour </w:t>
      </w:r>
      <w:hyperlink r:id="rId10" w:tgtFrame="_blank" w:tooltip="Bilan électrique de la France : que retenir de 2019 ?" w:history="1">
        <w:r w:rsidRPr="00F82FF7">
          <w:rPr>
            <w:rStyle w:val="Lienhypertexte"/>
            <w:rFonts w:cs="Arial"/>
            <w:color w:val="auto"/>
            <w:u w:val="none"/>
          </w:rPr>
          <w:t>6,3</w:t>
        </w:r>
        <w:r>
          <w:rPr>
            <w:rStyle w:val="Lienhypertexte"/>
            <w:rFonts w:cs="Arial"/>
            <w:color w:val="auto"/>
            <w:u w:val="none"/>
          </w:rPr>
          <w:t xml:space="preserve"> </w:t>
        </w:r>
        <w:r w:rsidRPr="00F82FF7">
          <w:rPr>
            <w:rStyle w:val="Lienhypertexte"/>
            <w:rFonts w:cs="Arial"/>
            <w:color w:val="auto"/>
            <w:u w:val="none"/>
          </w:rPr>
          <w:t>% de la production d’énergie électr</w:t>
        </w:r>
        <w:r w:rsidRPr="00F82FF7">
          <w:rPr>
            <w:rStyle w:val="Lienhypertexte"/>
            <w:rFonts w:cs="Arial"/>
            <w:color w:val="auto"/>
            <w:u w:val="none"/>
          </w:rPr>
          <w:t>ique en France métropolitaine selon RTE (Réseau de Transport de l’Électricité), consolidant ainsi sa place de principale filière renouvelable après l’hydroélectricité</w:t>
        </w:r>
      </w:hyperlink>
      <w:r w:rsidRPr="00F82FF7">
        <w:rPr>
          <w:rFonts w:cs="Arial"/>
        </w:rPr>
        <w:t xml:space="preserve">. En 2019, </w:t>
      </w:r>
      <w:r w:rsidRPr="004A3B1B">
        <w:t>la puissance du parc éolien raccordé en France métropolitaine a augmenté de 9</w:t>
      </w:r>
      <w:r>
        <w:rPr>
          <w:rFonts w:cs="Arial"/>
        </w:rPr>
        <w:t xml:space="preserve"> </w:t>
      </w:r>
      <w:r w:rsidRPr="004A3B1B">
        <w:t>%</w:t>
      </w:r>
      <w:r w:rsidRPr="004A3B1B">
        <w:t xml:space="preserve"> par rapport à fin 2018.</w:t>
      </w:r>
    </w:p>
    <w:p w:rsidR="00FC5CC4" w:rsidRPr="00D27881" w:rsidRDefault="00980C26" w:rsidP="008674B0">
      <w:pPr>
        <w:spacing w:after="120"/>
        <w:jc w:val="both"/>
        <w:rPr>
          <w:rStyle w:val="Lienhypertexte"/>
          <w:rFonts w:cs="Arial"/>
          <w:b/>
          <w:bCs/>
          <w:color w:val="000000" w:themeColor="text1"/>
        </w:rPr>
      </w:pPr>
      <w:r w:rsidRPr="00D27881">
        <w:rPr>
          <w:rStyle w:val="Lienhypertexte"/>
          <w:rFonts w:cs="Arial"/>
          <w:b/>
          <w:bCs/>
          <w:color w:val="000000" w:themeColor="text1"/>
        </w:rPr>
        <w:t>Tableau 1 </w:t>
      </w:r>
      <w:r w:rsidRPr="00D27881">
        <w:rPr>
          <w:rStyle w:val="Lienhypertexte"/>
          <w:rFonts w:cs="Arial"/>
          <w:b/>
          <w:bCs/>
          <w:color w:val="000000" w:themeColor="text1"/>
          <w:u w:val="none"/>
        </w:rPr>
        <w:t>: répartition des sources d’énergie dans le cadre de la production nette d’énergie électrique en France en 2019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850"/>
        <w:gridCol w:w="851"/>
        <w:gridCol w:w="1275"/>
        <w:gridCol w:w="739"/>
        <w:gridCol w:w="1044"/>
        <w:gridCol w:w="1045"/>
      </w:tblGrid>
      <w:tr w:rsidR="00917E34" w:rsidRPr="000F11AC" w:rsidTr="000F11AC">
        <w:trPr>
          <w:cantSplit/>
          <w:trHeight w:val="602"/>
          <w:jc w:val="center"/>
        </w:trPr>
        <w:tc>
          <w:tcPr>
            <w:tcW w:w="704" w:type="dxa"/>
            <w:textDirection w:val="btLr"/>
            <w:vAlign w:val="center"/>
          </w:tcPr>
          <w:p w:rsidR="00FC5CC4" w:rsidRPr="000F11AC" w:rsidRDefault="00980C26" w:rsidP="00427639">
            <w:pPr>
              <w:spacing w:before="60" w:after="60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C5CC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Nucléaire</w:t>
            </w:r>
          </w:p>
        </w:tc>
        <w:tc>
          <w:tcPr>
            <w:tcW w:w="1418" w:type="dxa"/>
            <w:vAlign w:val="center"/>
          </w:tcPr>
          <w:p w:rsidR="00FC5CC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Hydraulique</w:t>
            </w:r>
          </w:p>
        </w:tc>
        <w:tc>
          <w:tcPr>
            <w:tcW w:w="850" w:type="dxa"/>
            <w:vAlign w:val="center"/>
          </w:tcPr>
          <w:p w:rsidR="00FC5CC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Éolien</w:t>
            </w:r>
          </w:p>
        </w:tc>
        <w:tc>
          <w:tcPr>
            <w:tcW w:w="851" w:type="dxa"/>
            <w:vAlign w:val="center"/>
          </w:tcPr>
          <w:p w:rsidR="00FC5CC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Solaire</w:t>
            </w:r>
          </w:p>
        </w:tc>
        <w:tc>
          <w:tcPr>
            <w:tcW w:w="1275" w:type="dxa"/>
            <w:vAlign w:val="center"/>
          </w:tcPr>
          <w:p w:rsidR="00FC5CC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Bioénergie</w:t>
            </w:r>
          </w:p>
        </w:tc>
        <w:tc>
          <w:tcPr>
            <w:tcW w:w="739" w:type="dxa"/>
            <w:vAlign w:val="center"/>
          </w:tcPr>
          <w:p w:rsidR="00FC5CC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Gaz</w:t>
            </w:r>
          </w:p>
        </w:tc>
        <w:tc>
          <w:tcPr>
            <w:tcW w:w="1044" w:type="dxa"/>
            <w:vAlign w:val="center"/>
          </w:tcPr>
          <w:p w:rsidR="00FC5CC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Fioul</w:t>
            </w:r>
          </w:p>
        </w:tc>
        <w:tc>
          <w:tcPr>
            <w:tcW w:w="1045" w:type="dxa"/>
            <w:vAlign w:val="center"/>
          </w:tcPr>
          <w:p w:rsidR="00FC5CC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Charbon</w:t>
            </w:r>
          </w:p>
        </w:tc>
      </w:tr>
      <w:tr w:rsidR="00917E34" w:rsidRPr="000F11AC" w:rsidTr="000F11AC">
        <w:trPr>
          <w:jc w:val="center"/>
        </w:trPr>
        <w:tc>
          <w:tcPr>
            <w:tcW w:w="704" w:type="dxa"/>
            <w:vAlign w:val="center"/>
          </w:tcPr>
          <w:p w:rsidR="00917E3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Part en %</w:t>
            </w:r>
          </w:p>
        </w:tc>
        <w:tc>
          <w:tcPr>
            <w:tcW w:w="1134" w:type="dxa"/>
            <w:vAlign w:val="center"/>
          </w:tcPr>
          <w:p w:rsidR="00917E3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70,6</w:t>
            </w:r>
          </w:p>
        </w:tc>
        <w:tc>
          <w:tcPr>
            <w:tcW w:w="1418" w:type="dxa"/>
            <w:vAlign w:val="center"/>
          </w:tcPr>
          <w:p w:rsidR="00917E3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11,2</w:t>
            </w:r>
          </w:p>
        </w:tc>
        <w:tc>
          <w:tcPr>
            <w:tcW w:w="850" w:type="dxa"/>
            <w:vAlign w:val="center"/>
          </w:tcPr>
          <w:p w:rsidR="00917E3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6,3</w:t>
            </w:r>
          </w:p>
        </w:tc>
        <w:tc>
          <w:tcPr>
            <w:tcW w:w="851" w:type="dxa"/>
            <w:vAlign w:val="center"/>
          </w:tcPr>
          <w:p w:rsidR="00917E3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2,2</w:t>
            </w:r>
          </w:p>
        </w:tc>
        <w:tc>
          <w:tcPr>
            <w:tcW w:w="1275" w:type="dxa"/>
            <w:vAlign w:val="center"/>
          </w:tcPr>
          <w:p w:rsidR="00917E3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1,8</w:t>
            </w:r>
          </w:p>
        </w:tc>
        <w:tc>
          <w:tcPr>
            <w:tcW w:w="739" w:type="dxa"/>
            <w:vAlign w:val="center"/>
          </w:tcPr>
          <w:p w:rsidR="00917E3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7,2</w:t>
            </w:r>
          </w:p>
        </w:tc>
        <w:tc>
          <w:tcPr>
            <w:tcW w:w="1044" w:type="dxa"/>
            <w:vAlign w:val="center"/>
          </w:tcPr>
          <w:p w:rsidR="00917E3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0,4</w:t>
            </w:r>
          </w:p>
        </w:tc>
        <w:tc>
          <w:tcPr>
            <w:tcW w:w="1045" w:type="dxa"/>
            <w:vAlign w:val="center"/>
          </w:tcPr>
          <w:p w:rsidR="00917E34" w:rsidRPr="000F11AC" w:rsidRDefault="00980C2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0,3</w:t>
            </w:r>
          </w:p>
        </w:tc>
      </w:tr>
    </w:tbl>
    <w:p w:rsidR="002A3EB4" w:rsidRPr="00D27881" w:rsidRDefault="00980C26" w:rsidP="00427639">
      <w:pPr>
        <w:spacing w:before="120" w:after="240"/>
        <w:jc w:val="right"/>
        <w:rPr>
          <w:rFonts w:cs="Arial"/>
          <w:i/>
          <w:sz w:val="21"/>
          <w:szCs w:val="21"/>
        </w:rPr>
      </w:pPr>
      <w:r w:rsidRPr="00D27881">
        <w:rPr>
          <w:rFonts w:cs="Arial"/>
          <w:i/>
          <w:sz w:val="21"/>
          <w:szCs w:val="21"/>
        </w:rPr>
        <w:t>Source</w:t>
      </w:r>
      <w:r>
        <w:rPr>
          <w:rFonts w:cs="Arial"/>
          <w:i/>
          <w:sz w:val="21"/>
          <w:szCs w:val="21"/>
        </w:rPr>
        <w:t> :</w:t>
      </w:r>
      <w:r w:rsidRPr="00D27881">
        <w:rPr>
          <w:rFonts w:cs="Arial"/>
          <w:i/>
          <w:sz w:val="21"/>
          <w:szCs w:val="21"/>
        </w:rPr>
        <w:t xml:space="preserve"> RTE</w:t>
      </w:r>
    </w:p>
    <w:p w:rsidR="002A3EB4" w:rsidRPr="002A3EB4" w:rsidRDefault="00980C26" w:rsidP="00D26EB3">
      <w:pPr>
        <w:spacing w:after="240"/>
        <w:jc w:val="both"/>
        <w:rPr>
          <w:rFonts w:cs="Arial"/>
        </w:rPr>
      </w:pPr>
      <w:r>
        <w:rPr>
          <w:rFonts w:cs="Arial"/>
          <w:b/>
        </w:rPr>
        <w:t>1-</w:t>
      </w:r>
      <w:r w:rsidRPr="002A3EB4">
        <w:rPr>
          <w:rFonts w:cs="Arial"/>
        </w:rPr>
        <w:t xml:space="preserve"> Définir les énergies fossiles et citer celles </w:t>
      </w:r>
      <w:r>
        <w:rPr>
          <w:rFonts w:cs="Arial"/>
        </w:rPr>
        <w:t xml:space="preserve">qui sont </w:t>
      </w:r>
      <w:r w:rsidRPr="002A3EB4">
        <w:rPr>
          <w:rFonts w:cs="Arial"/>
        </w:rPr>
        <w:t>présentes dans le tableau</w:t>
      </w:r>
      <w:r>
        <w:rPr>
          <w:rFonts w:cs="Arial"/>
        </w:rPr>
        <w:t xml:space="preserve"> 1</w:t>
      </w:r>
      <w:r w:rsidRPr="002A3EB4">
        <w:rPr>
          <w:rFonts w:cs="Arial"/>
        </w:rPr>
        <w:t>.</w:t>
      </w:r>
      <w:r>
        <w:rPr>
          <w:rFonts w:cs="Arial"/>
        </w:rPr>
        <w:t xml:space="preserve"> Calculer le pourcentage total qu’elles représentent dans la production électrique française.</w:t>
      </w:r>
    </w:p>
    <w:p w:rsidR="00A00B3E" w:rsidRDefault="00980C26" w:rsidP="001D4440">
      <w:pPr>
        <w:jc w:val="both"/>
      </w:pPr>
      <w:r>
        <w:rPr>
          <w:rFonts w:cs="Arial"/>
          <w:b/>
        </w:rPr>
        <w:t>2-</w:t>
      </w:r>
      <w:r w:rsidRPr="002A3EB4">
        <w:rPr>
          <w:rFonts w:cs="Arial"/>
        </w:rPr>
        <w:t xml:space="preserve"> Sachant que la production nette</w:t>
      </w:r>
      <w:r>
        <w:rPr>
          <w:rFonts w:cs="Arial"/>
        </w:rPr>
        <w:t xml:space="preserve"> d’énergie électrique</w:t>
      </w:r>
      <w:r w:rsidRPr="002A3EB4">
        <w:rPr>
          <w:rFonts w:cs="Arial"/>
        </w:rPr>
        <w:t xml:space="preserve"> en France métropolitaine </w:t>
      </w:r>
      <w:r>
        <w:rPr>
          <w:rFonts w:cs="Arial"/>
        </w:rPr>
        <w:t xml:space="preserve">en </w:t>
      </w:r>
      <w:r w:rsidRPr="002A3EB4">
        <w:rPr>
          <w:rFonts w:cs="Arial"/>
        </w:rPr>
        <w:t xml:space="preserve">2019 était de 537 700 GWh, calculer la production </w:t>
      </w:r>
      <w:r>
        <w:rPr>
          <w:rFonts w:cs="Arial"/>
        </w:rPr>
        <w:t>d’énergie électrique</w:t>
      </w:r>
      <w:r w:rsidRPr="002A3EB4">
        <w:rPr>
          <w:rFonts w:cs="Arial"/>
        </w:rPr>
        <w:t xml:space="preserve"> issue du nucléaire</w:t>
      </w:r>
      <w:r>
        <w:rPr>
          <w:rFonts w:cs="Arial"/>
        </w:rPr>
        <w:t>,</w:t>
      </w:r>
      <w:r w:rsidRPr="002A3EB4">
        <w:rPr>
          <w:rFonts w:cs="Arial"/>
        </w:rPr>
        <w:t xml:space="preserve"> </w:t>
      </w:r>
      <w:r>
        <w:rPr>
          <w:rFonts w:cs="Arial"/>
        </w:rPr>
        <w:t>puis celle issue</w:t>
      </w:r>
      <w:r w:rsidRPr="002A3EB4">
        <w:rPr>
          <w:rFonts w:cs="Arial"/>
        </w:rPr>
        <w:t xml:space="preserve"> de l’éolien en GWh. </w:t>
      </w:r>
    </w:p>
    <w:p w:rsidR="00537CCF" w:rsidRDefault="00980C26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537CCF" w:rsidRDefault="00980C26">
      <w:pPr>
        <w:spacing w:after="0" w:line="240" w:lineRule="auto"/>
        <w:rPr>
          <w:b/>
        </w:rPr>
      </w:pPr>
    </w:p>
    <w:p w:rsidR="002A3EB4" w:rsidRDefault="00980C26" w:rsidP="00537CCF">
      <w:pPr>
        <w:spacing w:after="240" w:line="240" w:lineRule="auto"/>
        <w:rPr>
          <w:b/>
        </w:rPr>
      </w:pPr>
      <w:r w:rsidRPr="00FC5CC4">
        <w:rPr>
          <w:b/>
        </w:rPr>
        <w:t xml:space="preserve">Partie </w:t>
      </w:r>
      <w:r>
        <w:rPr>
          <w:b/>
        </w:rPr>
        <w:t>B - Comparaison des énergies éolienne et nucléaire</w:t>
      </w:r>
    </w:p>
    <w:p w:rsidR="00D660BA" w:rsidRDefault="00980C26" w:rsidP="004A3B1B">
      <w:pPr>
        <w:spacing w:after="0" w:line="240" w:lineRule="auto"/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26"/>
        <w:gridCol w:w="1038"/>
        <w:gridCol w:w="3996"/>
      </w:tblGrid>
      <w:tr w:rsidR="00A71005" w:rsidTr="0F244DAC">
        <w:tc>
          <w:tcPr>
            <w:tcW w:w="9060" w:type="dxa"/>
            <w:gridSpan w:val="3"/>
            <w:tcBorders>
              <w:bottom w:val="nil"/>
            </w:tcBorders>
          </w:tcPr>
          <w:p w:rsidR="00A71005" w:rsidRPr="00913553" w:rsidRDefault="00980C26" w:rsidP="004A05F5">
            <w:pPr>
              <w:spacing w:before="120" w:after="120"/>
              <w:rPr>
                <w:rFonts w:ascii="Times New Roman" w:hAnsi="Times New Roman"/>
                <w:noProof/>
              </w:rPr>
            </w:pPr>
            <w:r w:rsidRPr="004A3B1B">
              <w:rPr>
                <w:rFonts w:cs="Arial"/>
                <w:b/>
                <w:bCs/>
                <w:u w:val="single"/>
              </w:rPr>
              <w:t>Document 2</w:t>
            </w:r>
            <w:r w:rsidRPr="004A3B1B">
              <w:rPr>
                <w:rFonts w:cs="Arial"/>
                <w:b/>
                <w:bCs/>
              </w:rPr>
              <w:t xml:space="preserve"> : </w:t>
            </w:r>
            <w:r>
              <w:rPr>
                <w:rFonts w:cs="Arial"/>
                <w:b/>
                <w:bCs/>
              </w:rPr>
              <w:t xml:space="preserve">énergies éolienne et </w:t>
            </w:r>
            <w:r>
              <w:rPr>
                <w:rFonts w:cs="Arial"/>
                <w:b/>
                <w:bCs/>
              </w:rPr>
              <w:t>nucléaire en France</w:t>
            </w:r>
          </w:p>
        </w:tc>
      </w:tr>
      <w:tr w:rsidR="00CE51F6" w:rsidTr="00894376">
        <w:tc>
          <w:tcPr>
            <w:tcW w:w="5240" w:type="dxa"/>
            <w:gridSpan w:val="2"/>
            <w:tcBorders>
              <w:top w:val="nil"/>
              <w:bottom w:val="nil"/>
              <w:right w:val="nil"/>
            </w:tcBorders>
          </w:tcPr>
          <w:p w:rsidR="00B63F27" w:rsidRDefault="00980C26" w:rsidP="00B63F27">
            <w:pPr>
              <w:spacing w:after="120"/>
              <w:ind w:left="29"/>
              <w:jc w:val="both"/>
              <w:rPr>
                <w:rFonts w:cs="Arial"/>
              </w:rPr>
            </w:pPr>
            <w:r w:rsidRPr="0F244DAC">
              <w:rPr>
                <w:rFonts w:cs="Arial"/>
              </w:rPr>
              <w:t>La Normandie se situe à la 7</w:t>
            </w:r>
            <w:r w:rsidRPr="0F244DAC">
              <w:rPr>
                <w:rFonts w:cs="Arial"/>
                <w:vertAlign w:val="superscript"/>
              </w:rPr>
              <w:t>ème</w:t>
            </w:r>
            <w:r w:rsidRPr="0F244DAC">
              <w:rPr>
                <w:rFonts w:cs="Arial"/>
              </w:rPr>
              <w:t xml:space="preserve"> position des régions métropolitaine</w:t>
            </w:r>
            <w:r>
              <w:rPr>
                <w:rFonts w:cs="Arial"/>
              </w:rPr>
              <w:t>s en termes d’éolien terrestre.</w:t>
            </w:r>
          </w:p>
          <w:p w:rsidR="00CE51F6" w:rsidRPr="00CE51F6" w:rsidRDefault="00980C26" w:rsidP="00B63F27">
            <w:pPr>
              <w:spacing w:after="120"/>
              <w:ind w:left="29"/>
              <w:jc w:val="both"/>
              <w:rPr>
                <w:rFonts w:cs="Arial"/>
              </w:rPr>
            </w:pPr>
            <w:r w:rsidRPr="0F244DAC">
              <w:rPr>
                <w:rFonts w:cs="Arial"/>
              </w:rPr>
              <w:t>La puissance moyenne d’une éolie</w:t>
            </w:r>
            <w:r>
              <w:rPr>
                <w:rFonts w:cs="Arial"/>
              </w:rPr>
              <w:t>nne terrestre en France est de 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éolienne</m:t>
                  </m:r>
                </m:sub>
              </m:sSub>
              <m:r>
                <w:rPr>
                  <w:rFonts w:ascii="Cambria Math" w:hAnsi="Cambria Math" w:cs="Arial"/>
                </w:rPr>
                <m:t xml:space="preserve">=3,0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MW</m:t>
              </m:r>
            </m:oMath>
            <w:r w:rsidRPr="00CE51F6">
              <w:rPr>
                <w:rFonts w:eastAsiaTheme="minorEastAsia" w:cs="Arial"/>
              </w:rPr>
              <w:t xml:space="preserve">. L’électricité produite à partir d’une éolienne est intermittente. </w:t>
            </w:r>
            <w:r>
              <w:rPr>
                <w:rFonts w:eastAsiaTheme="minorEastAsia" w:cs="Arial"/>
              </w:rPr>
              <w:t>La disponibilité annuelle est de</w:t>
            </w:r>
            <m:oMath>
              <m:r>
                <w:rPr>
                  <w:rFonts w:ascii="Cambria Math" w:eastAsiaTheme="minorEastAsia" w:hAnsi="Cambria Math" w:cs="Arial"/>
                </w:rPr>
                <m:t xml:space="preserve"> 2000 </m:t>
              </m:r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m:t>h</m:t>
              </m:r>
            </m:oMath>
            <w:r w:rsidRPr="00CE51F6">
              <w:rPr>
                <w:rFonts w:eastAsiaTheme="minorEastAsia" w:cs="Arial"/>
              </w:rPr>
              <w:t xml:space="preserve">. Les éoliennes </w:t>
            </w:r>
            <w:r>
              <w:rPr>
                <w:rFonts w:eastAsiaTheme="minorEastAsia" w:cs="Arial"/>
              </w:rPr>
              <w:t>sont souvent décriées pour leur</w:t>
            </w:r>
            <w:r w:rsidRPr="00CE51F6">
              <w:rPr>
                <w:rFonts w:eastAsiaTheme="minorEastAsia" w:cs="Arial"/>
              </w:rPr>
              <w:t xml:space="preserve"> impact sur le paysage et sur la faune.</w:t>
            </w:r>
          </w:p>
          <w:p w:rsidR="00CE51F6" w:rsidRDefault="00980C26" w:rsidP="00BF1985">
            <w:pPr>
              <w:spacing w:after="0"/>
              <w:jc w:val="both"/>
              <w:rPr>
                <w:b/>
              </w:rPr>
            </w:pPr>
            <w:r w:rsidRPr="00CE51F6">
              <w:rPr>
                <w:rFonts w:cs="Arial"/>
              </w:rPr>
              <w:t xml:space="preserve">Il suffit d’un peu moins de deux </w:t>
            </w:r>
            <w:r>
              <w:rPr>
                <w:rFonts w:cs="Arial"/>
              </w:rPr>
              <w:t xml:space="preserve">ans </w:t>
            </w:r>
            <w:r w:rsidRPr="00CE51F6">
              <w:rPr>
                <w:rFonts w:cs="Arial"/>
              </w:rPr>
              <w:t xml:space="preserve">pour construire et raccorder une éolienne. Le coût d’une éolienne ayant une puissance de </w:t>
            </w:r>
            <m:oMath>
              <m:r>
                <w:rPr>
                  <w:rFonts w:ascii="Cambria Math" w:hAnsi="Cambria Math" w:cs="Arial"/>
                </w:rPr>
                <m:t xml:space="preserve">3,0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MW</m:t>
              </m:r>
            </m:oMath>
            <w:r>
              <w:rPr>
                <w:rFonts w:cs="Arial"/>
              </w:rPr>
              <w:t xml:space="preserve"> est de 3</w:t>
            </w:r>
            <w:r w:rsidRPr="00CE51F6">
              <w:rPr>
                <w:rFonts w:cs="Arial"/>
              </w:rPr>
              <w:t xml:space="preserve"> million</w:t>
            </w:r>
            <w:r>
              <w:rPr>
                <w:rFonts w:cs="Arial"/>
              </w:rPr>
              <w:t>s</w:t>
            </w:r>
            <w:r w:rsidRPr="00CE51F6">
              <w:rPr>
                <w:rFonts w:cs="Arial"/>
              </w:rPr>
              <w:t xml:space="preserve"> d’euros.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</w:tcBorders>
            <w:vAlign w:val="center"/>
          </w:tcPr>
          <w:p w:rsidR="00D660BA" w:rsidRPr="00D27881" w:rsidRDefault="00980C26" w:rsidP="00B63F27">
            <w:pPr>
              <w:spacing w:before="120"/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-2211705</wp:posOffset>
                  </wp:positionV>
                  <wp:extent cx="2394585" cy="1590675"/>
                  <wp:effectExtent l="0" t="0" r="5715" b="0"/>
                  <wp:wrapTopAndBottom/>
                  <wp:docPr id="1" name="Image 7" descr="Plus de 300 images de Parc Éolien et de Éolienne -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585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7881">
              <w:rPr>
                <w:b/>
                <w:sz w:val="22"/>
                <w:szCs w:val="22"/>
              </w:rPr>
              <w:t>Éolienne</w:t>
            </w:r>
          </w:p>
        </w:tc>
      </w:tr>
      <w:tr w:rsidR="002A3EB4" w:rsidTr="00894376">
        <w:tc>
          <w:tcPr>
            <w:tcW w:w="3823" w:type="dxa"/>
            <w:tcBorders>
              <w:top w:val="nil"/>
              <w:right w:val="nil"/>
            </w:tcBorders>
            <w:vAlign w:val="center"/>
          </w:tcPr>
          <w:p w:rsidR="00CE51F6" w:rsidRPr="00A1369C" w:rsidRDefault="00980C26" w:rsidP="00CE51F6">
            <w:pPr>
              <w:jc w:val="center"/>
              <w:rPr>
                <w:sz w:val="16"/>
                <w:szCs w:val="16"/>
              </w:rPr>
            </w:pPr>
            <w:r w:rsidRPr="00A1369C">
              <w:rPr>
                <w:noProof/>
                <w:sz w:val="16"/>
                <w:szCs w:val="16"/>
              </w:rPr>
              <w:object w:dxaOrig="7470" w:dyaOrig="5235" w14:anchorId="5E356D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90.5pt;height:134.25pt;mso-width-percent:0;mso-height-percent:0;mso-width-percent:0;mso-height-percent:0" o:ole="">
                  <v:imagedata r:id="rId12" o:title=""/>
                </v:shape>
                <o:OLEObject Type="Embed" ProgID="PBrush" ShapeID="_x0000_i1025" DrawAspect="Content" ObjectID="_1741547752" r:id="rId13"/>
              </w:object>
            </w:r>
          </w:p>
          <w:p w:rsidR="00D660BA" w:rsidRPr="00D27881" w:rsidRDefault="00980C26" w:rsidP="00AE66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27881">
              <w:rPr>
                <w:b/>
                <w:bCs/>
                <w:iCs/>
                <w:sz w:val="22"/>
                <w:szCs w:val="22"/>
              </w:rPr>
              <w:t>Réacteur EPR</w:t>
            </w:r>
          </w:p>
          <w:p w:rsidR="002A3EB4" w:rsidRPr="00913553" w:rsidRDefault="00980C26" w:rsidP="00AE66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37" w:type="dxa"/>
            <w:gridSpan w:val="2"/>
            <w:tcBorders>
              <w:top w:val="nil"/>
              <w:left w:val="nil"/>
            </w:tcBorders>
          </w:tcPr>
          <w:p w:rsidR="00CE51F6" w:rsidRDefault="00980C26" w:rsidP="00BF1985">
            <w:pPr>
              <w:spacing w:after="120"/>
              <w:ind w:left="47"/>
              <w:jc w:val="both"/>
              <w:rPr>
                <w:rFonts w:cs="Arial"/>
              </w:rPr>
            </w:pPr>
            <w:r w:rsidRPr="00CE51F6">
              <w:rPr>
                <w:rFonts w:cs="Arial"/>
              </w:rPr>
              <w:t>Premier réacteur EPR (</w:t>
            </w:r>
            <w:r w:rsidRPr="00CE51F6">
              <w:rPr>
                <w:rFonts w:cs="Arial"/>
                <w:i/>
              </w:rPr>
              <w:t xml:space="preserve">European Pressurized water Reaction </w:t>
            </w:r>
            <w:r w:rsidRPr="00CE51F6">
              <w:rPr>
                <w:rFonts w:cs="Arial"/>
              </w:rPr>
              <w:t xml:space="preserve">) français de génération 3, Flamanville 3, situé en Normandie, s’inscrit dans le programme de renouvellement du parc nucléaire français en prévention du démantèlement progressif des premières installations. </w:t>
            </w:r>
          </w:p>
          <w:p w:rsidR="002A3EB4" w:rsidRPr="00CE51F6" w:rsidRDefault="00980C26" w:rsidP="00BF1985">
            <w:pPr>
              <w:spacing w:after="120"/>
              <w:ind w:left="47"/>
              <w:jc w:val="both"/>
              <w:rPr>
                <w:rFonts w:cs="Arial"/>
              </w:rPr>
            </w:pPr>
            <w:r w:rsidRPr="00CE51F6">
              <w:rPr>
                <w:rFonts w:cs="Arial"/>
              </w:rPr>
              <w:t>Il délivrera une puissance électrique</w:t>
            </w:r>
            <w:r>
              <w:rPr>
                <w:rFonts w:cs="Arial"/>
              </w:rPr>
              <w:t> 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</w:rPr>
                    <m:t>EPR</m:t>
                  </m:r>
                </m:sub>
              </m:sSub>
              <m:r>
                <w:rPr>
                  <w:rFonts w:ascii="Cambria Math" w:hAnsi="Cambria Math" w:cs="Arial"/>
                </w:rPr>
                <m:t>=1</m:t>
              </m:r>
              <m:r>
                <w:rPr>
                  <w:rFonts w:ascii="Cambria Math" w:hAnsi="Cambria Math" w:cs="Arial"/>
                </w:rPr>
                <m:t xml:space="preserve">,6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GW</m:t>
              </m:r>
            </m:oMath>
            <w:r w:rsidRPr="00CE51F6">
              <w:rPr>
                <w:rFonts w:cs="Arial"/>
              </w:rPr>
              <w:t xml:space="preserve"> avec </w:t>
            </w:r>
            <w:r>
              <w:rPr>
                <w:rFonts w:cs="Arial"/>
              </w:rPr>
              <w:t>une disponibilité annuelle de</w:t>
            </w:r>
            <m:oMath>
              <m:r>
                <w:rPr>
                  <w:rFonts w:ascii="Cambria Math" w:hAnsi="Cambria Math" w:cs="Arial"/>
                </w:rPr>
                <m:t xml:space="preserve"> 6 500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h</m:t>
              </m:r>
            </m:oMath>
            <w:r>
              <w:rPr>
                <w:rFonts w:cs="Arial"/>
              </w:rPr>
              <w:t>.</w:t>
            </w:r>
          </w:p>
          <w:p w:rsidR="002A3EB4" w:rsidRPr="00F87E87" w:rsidRDefault="00980C26" w:rsidP="00BF1985">
            <w:pPr>
              <w:spacing w:after="120"/>
              <w:ind w:left="47"/>
              <w:jc w:val="both"/>
              <w:rPr>
                <w:rFonts w:ascii="Times New Roman" w:hAnsi="Times New Roman"/>
              </w:rPr>
            </w:pPr>
            <w:r w:rsidRPr="00CE51F6">
              <w:rPr>
                <w:rFonts w:cs="Arial"/>
              </w:rPr>
              <w:t xml:space="preserve">La réalisation de </w:t>
            </w:r>
            <w:r>
              <w:rPr>
                <w:rFonts w:cs="Arial"/>
              </w:rPr>
              <w:t>l’EPR a commencé en 2007 et devrait</w:t>
            </w:r>
            <w:r w:rsidRPr="00CE51F6">
              <w:rPr>
                <w:rFonts w:cs="Arial"/>
              </w:rPr>
              <w:t xml:space="preserve"> s’achever en 2021. Le coût </w:t>
            </w:r>
            <w:r>
              <w:rPr>
                <w:rFonts w:cs="Arial"/>
              </w:rPr>
              <w:t>est de l’ordre de 19,1 milliards d’euros contre les 3,3 milliards annoncés en 2 006.</w:t>
            </w:r>
          </w:p>
        </w:tc>
      </w:tr>
    </w:tbl>
    <w:p w:rsidR="00537CCF" w:rsidRDefault="00980C26" w:rsidP="00D27881">
      <w:pPr>
        <w:spacing w:after="0"/>
        <w:rPr>
          <w:rFonts w:cs="Arial"/>
        </w:rPr>
      </w:pPr>
    </w:p>
    <w:p w:rsidR="00537CCF" w:rsidRDefault="00980C26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CE51F6" w:rsidRPr="00537CCF" w:rsidRDefault="00980C26" w:rsidP="00537CCF">
      <w:pPr>
        <w:spacing w:after="240"/>
        <w:jc w:val="both"/>
        <w:rPr>
          <w:rFonts w:cs="Arial"/>
          <w:bdr w:val="single" w:sz="4" w:space="0" w:color="auto"/>
        </w:rPr>
      </w:pPr>
      <w:r w:rsidRPr="6B1B7D00">
        <w:rPr>
          <w:rFonts w:cs="Arial"/>
        </w:rPr>
        <w:lastRenderedPageBreak/>
        <w:t>L’énergie électrique obtenue en watt</w:t>
      </w:r>
      <w:r w:rsidRPr="6B1B7D00">
        <w:rPr>
          <w:rFonts w:cs="Arial"/>
        </w:rPr>
        <w:t xml:space="preserve"> heure (Wh) pendant une certaine durée se calcule par la formule </w:t>
      </w:r>
      <m:oMath>
        <m:r>
          <w:rPr>
            <w:rFonts w:ascii="Cambria Math" w:hAnsi="Cambria Math" w:cs="Arial"/>
            <w:sz w:val="28"/>
          </w:rPr>
          <m:t>E</m:t>
        </m:r>
        <m:r>
          <w:rPr>
            <w:rFonts w:ascii="Cambria Math" w:hAnsi="Cambria Math" w:cs="Arial"/>
            <w:sz w:val="28"/>
          </w:rPr>
          <m:t>=</m:t>
        </m:r>
        <m:r>
          <w:rPr>
            <w:rFonts w:ascii="Cambria Math" w:hAnsi="Cambria Math" w:cs="Arial"/>
            <w:sz w:val="28"/>
          </w:rPr>
          <m:t>P</m:t>
        </m:r>
        <m:r>
          <w:rPr>
            <w:rFonts w:ascii="Cambria Math" w:hAnsi="Cambria Math" w:cs="Arial"/>
            <w:sz w:val="28"/>
          </w:rPr>
          <m:t>×</m:t>
        </m:r>
        <m:r>
          <m:rPr>
            <m:sty m:val="p"/>
          </m:rPr>
          <w:rPr>
            <w:rFonts w:ascii="Cambria Math" w:hAnsi="Cambria Math" w:cs="Arial"/>
            <w:sz w:val="28"/>
          </w:rPr>
          <m:t>∆</m:t>
        </m:r>
        <m:r>
          <w:rPr>
            <w:rFonts w:ascii="Cambria Math" w:hAnsi="Cambria Math" w:cs="Arial"/>
            <w:sz w:val="28"/>
          </w:rPr>
          <m:t>t</m:t>
        </m:r>
      </m:oMath>
      <w:r>
        <w:rPr>
          <w:rFonts w:eastAsiaTheme="minorEastAsia" w:cs="Arial"/>
        </w:rPr>
        <w:t xml:space="preserve"> o</w:t>
      </w:r>
      <w:r w:rsidRPr="00CE51F6">
        <w:rPr>
          <w:rFonts w:eastAsiaTheme="minorEastAsia" w:cs="Arial"/>
        </w:rPr>
        <w:t>ù</w:t>
      </w:r>
      <w:r w:rsidRPr="00537CCF">
        <w:rPr>
          <w:rFonts w:eastAsiaTheme="minorEastAsia" w:cs="Arial"/>
          <w:sz w:val="28"/>
        </w:rPr>
        <w:t xml:space="preserve"> </w:t>
      </w:r>
      <m:oMath>
        <m:r>
          <w:rPr>
            <w:rFonts w:ascii="Cambria Math" w:eastAsiaTheme="minorEastAsia" w:hAnsi="Cambria Math" w:cs="Arial"/>
            <w:sz w:val="28"/>
          </w:rPr>
          <m:t>P</m:t>
        </m:r>
      </m:oMath>
      <w:r w:rsidRPr="00537CCF">
        <w:rPr>
          <w:rFonts w:eastAsiaTheme="minorEastAsia" w:cs="Arial"/>
          <w:sz w:val="28"/>
        </w:rPr>
        <w:t xml:space="preserve"> </w:t>
      </w:r>
      <w:r>
        <w:rPr>
          <w:rFonts w:eastAsiaTheme="minorEastAsia" w:cs="Arial"/>
        </w:rPr>
        <w:t>est la puissance en w</w:t>
      </w:r>
      <w:r w:rsidRPr="00CE51F6">
        <w:rPr>
          <w:rFonts w:eastAsiaTheme="minorEastAsia" w:cs="Arial"/>
        </w:rPr>
        <w:t>att</w:t>
      </w:r>
      <w:r>
        <w:rPr>
          <w:rFonts w:eastAsiaTheme="minorEastAsia" w:cs="Arial"/>
        </w:rPr>
        <w:t>s</w:t>
      </w:r>
      <w:r>
        <w:rPr>
          <w:rFonts w:eastAsiaTheme="minorEastAsia" w:cs="Arial"/>
          <w:i/>
        </w:rPr>
        <w:t xml:space="preserve"> </w:t>
      </w:r>
      <w:r w:rsidRPr="00E323E0">
        <w:rPr>
          <w:rFonts w:eastAsiaTheme="minorEastAsia" w:cs="Arial"/>
          <w:iCs/>
        </w:rPr>
        <w:t>(W)</w:t>
      </w:r>
      <w:r w:rsidRPr="00CE51F6">
        <w:rPr>
          <w:rFonts w:eastAsiaTheme="minorEastAsia" w:cs="Arial"/>
        </w:rPr>
        <w:t xml:space="preserve"> et </w:t>
      </w:r>
      <m:oMath>
        <m:r>
          <w:rPr>
            <w:rFonts w:ascii="Cambria Math" w:hAnsi="Cambria Math" w:cs="Arial"/>
            <w:sz w:val="28"/>
          </w:rPr>
          <m:t>∆</m:t>
        </m:r>
        <m:r>
          <w:rPr>
            <w:rFonts w:ascii="Cambria Math" w:hAnsi="Cambria Math" w:cs="Arial"/>
            <w:sz w:val="28"/>
          </w:rPr>
          <m:t>t</m:t>
        </m:r>
      </m:oMath>
      <w:r>
        <w:rPr>
          <w:rFonts w:eastAsiaTheme="minorEastAsia" w:cs="Arial"/>
        </w:rPr>
        <w:t xml:space="preserve"> la durée en heures (</w:t>
      </w:r>
      <w:r w:rsidRPr="00E323E0">
        <w:rPr>
          <w:rFonts w:eastAsiaTheme="minorEastAsia" w:cs="Arial"/>
          <w:iCs/>
        </w:rPr>
        <w:t>h</w:t>
      </w:r>
      <w:r>
        <w:rPr>
          <w:rFonts w:eastAsiaTheme="minorEastAsia" w:cs="Arial"/>
        </w:rPr>
        <w:t>)</w:t>
      </w:r>
      <w:r w:rsidRPr="00CE51F6">
        <w:rPr>
          <w:rFonts w:eastAsiaTheme="minorEastAsia" w:cs="Arial"/>
        </w:rPr>
        <w:t>.</w:t>
      </w:r>
    </w:p>
    <w:p w:rsidR="00AE6659" w:rsidRDefault="00980C26" w:rsidP="00B65B77">
      <w:pPr>
        <w:spacing w:after="360"/>
        <w:jc w:val="both"/>
        <w:rPr>
          <w:rFonts w:eastAsiaTheme="minorEastAsia" w:cs="Arial"/>
        </w:rPr>
      </w:pPr>
      <w:r>
        <w:rPr>
          <w:rFonts w:cs="Arial"/>
          <w:b/>
        </w:rPr>
        <w:t xml:space="preserve">3- </w:t>
      </w:r>
      <w:r>
        <w:rPr>
          <w:rFonts w:cs="Arial"/>
        </w:rPr>
        <w:t>En vous aidant des documents précédents, c</w:t>
      </w:r>
      <w:r w:rsidRPr="00AE6659">
        <w:rPr>
          <w:rFonts w:eastAsiaTheme="minorEastAsia" w:cs="Arial"/>
        </w:rPr>
        <w:t xml:space="preserve">alculer </w:t>
      </w:r>
      <w:r>
        <w:rPr>
          <w:rFonts w:eastAsiaTheme="minorEastAsia" w:cs="Arial"/>
        </w:rPr>
        <w:t>le nombre</w:t>
      </w:r>
      <w:r w:rsidRPr="00AE6659">
        <w:rPr>
          <w:rFonts w:eastAsiaTheme="minorEastAsia" w:cs="Arial"/>
        </w:rPr>
        <w:t xml:space="preserve"> d’éoliennes nécessaires pour obtenir une quantité d’énergie électrique équivalente à celle du réacteur EPR.</w:t>
      </w:r>
    </w:p>
    <w:p w:rsidR="00AB3200" w:rsidRDefault="00980C26" w:rsidP="002C2ED4">
      <w:pPr>
        <w:spacing w:after="360" w:line="240" w:lineRule="auto"/>
        <w:jc w:val="both"/>
      </w:pPr>
      <w:r w:rsidRPr="004A3B1B">
        <w:rPr>
          <w:rFonts w:eastAsiaTheme="minorEastAsia" w:cs="Arial"/>
        </w:rPr>
        <w:t>Le document 3</w:t>
      </w:r>
      <w:r>
        <w:t xml:space="preserve"> met en évidence les principales causes de mortalité des oiseaux aux États-Unis. Elle est transposable à la France.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65B77" w:rsidRPr="00B65B77" w:rsidTr="00A84C02">
        <w:trPr>
          <w:trHeight w:val="6171"/>
        </w:trPr>
        <w:tc>
          <w:tcPr>
            <w:tcW w:w="9060" w:type="dxa"/>
          </w:tcPr>
          <w:p w:rsidR="00B65B77" w:rsidRPr="00B65B77" w:rsidRDefault="00980C26" w:rsidP="00B65B77">
            <w:pPr>
              <w:spacing w:before="120" w:after="120" w:line="240" w:lineRule="auto"/>
              <w:rPr>
                <w:b/>
                <w:bCs/>
                <w:i/>
                <w:sz w:val="22"/>
                <w:szCs w:val="22"/>
              </w:rPr>
            </w:pPr>
            <w:r w:rsidRPr="00B65B77">
              <w:rPr>
                <w:b/>
                <w:bCs/>
                <w:u w:val="single"/>
              </w:rPr>
              <w:t>Document 3</w:t>
            </w:r>
            <w:r w:rsidRPr="00B65B77">
              <w:rPr>
                <w:b/>
                <w:bCs/>
              </w:rPr>
              <w:t> : cause</w:t>
            </w:r>
            <w:r w:rsidRPr="00B65B77">
              <w:rPr>
                <w:b/>
                <w:bCs/>
              </w:rPr>
              <w:t>s de mortalité des oiseaux</w:t>
            </w:r>
          </w:p>
          <w:p w:rsidR="00B65B77" w:rsidRPr="00B65B77" w:rsidRDefault="00980C26" w:rsidP="00B65B77">
            <w:pPr>
              <w:spacing w:before="120" w:after="120" w:line="240" w:lineRule="auto"/>
              <w:jc w:val="center"/>
            </w:pPr>
            <w:r w:rsidRPr="00B65B77">
              <w:rPr>
                <w:noProof/>
              </w:rPr>
              <w:drawing>
                <wp:inline distT="0" distB="0" distL="0" distR="0" wp14:anchorId="7B159986" wp14:editId="06AFA3BE">
                  <wp:extent cx="1000125" cy="276225"/>
                  <wp:effectExtent l="0" t="0" r="9525" b="9525"/>
                  <wp:docPr id="2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5B77" w:rsidRPr="00B65B77" w:rsidRDefault="00980C26" w:rsidP="00B65B77">
            <w:pPr>
              <w:spacing w:before="120" w:after="120" w:line="240" w:lineRule="auto"/>
            </w:pPr>
            <w:r w:rsidRPr="00B65B77">
              <w:rPr>
                <w:noProof/>
              </w:rPr>
              <w:drawing>
                <wp:inline distT="0" distB="0" distL="0" distR="0" wp14:anchorId="1B295F75" wp14:editId="1D3FBE28">
                  <wp:extent cx="5640705" cy="3277870"/>
                  <wp:effectExtent l="0" t="0" r="0" b="0"/>
                  <wp:docPr id="3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8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0705" cy="327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5B77" w:rsidRPr="00B65B77" w:rsidRDefault="00980C26" w:rsidP="002C2ED4">
            <w:pPr>
              <w:spacing w:before="120" w:after="120" w:line="240" w:lineRule="auto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65B77">
              <w:rPr>
                <w:i/>
                <w:sz w:val="22"/>
                <w:szCs w:val="22"/>
              </w:rPr>
              <w:t>Source : consoglob</w:t>
            </w:r>
          </w:p>
        </w:tc>
      </w:tr>
    </w:tbl>
    <w:p w:rsidR="00204EB1" w:rsidRDefault="00980C26" w:rsidP="0096328E">
      <w:pPr>
        <w:jc w:val="both"/>
        <w:rPr>
          <w:rFonts w:eastAsiaTheme="minorEastAsia" w:cs="Arial"/>
          <w:b/>
        </w:rPr>
      </w:pPr>
    </w:p>
    <w:p w:rsidR="00D27881" w:rsidRPr="0096328E" w:rsidRDefault="00980C26" w:rsidP="002C2ED4">
      <w:pPr>
        <w:jc w:val="both"/>
        <w:rPr>
          <w:rFonts w:eastAsiaTheme="minorEastAsia" w:cs="Arial"/>
        </w:rPr>
      </w:pPr>
      <w:r w:rsidRPr="6B1B7D00">
        <w:rPr>
          <w:rFonts w:eastAsiaTheme="minorEastAsia" w:cs="Arial"/>
          <w:b/>
          <w:bCs/>
        </w:rPr>
        <w:t>4-</w:t>
      </w:r>
      <w:r w:rsidRPr="6B1B7D00">
        <w:rPr>
          <w:rFonts w:eastAsiaTheme="minorEastAsia" w:cs="Arial"/>
        </w:rPr>
        <w:t xml:space="preserve"> À l’aide de l’ensemble des documents et de vos connaissances, comparer les modes de production d’énergie électrique de source éolienne et nucléaire. Un paragraphe argumenté de quinze à vingt lignes </w:t>
      </w:r>
      <w:r w:rsidRPr="6B1B7D00">
        <w:rPr>
          <w:rFonts w:eastAsiaTheme="minorEastAsia" w:cs="Arial"/>
        </w:rPr>
        <w:t>environ est demandé.</w:t>
      </w:r>
      <w:r>
        <w:br w:type="page"/>
      </w:r>
    </w:p>
    <w:p w:rsidR="005177D2" w:rsidRPr="00A77456" w:rsidRDefault="00980C26" w:rsidP="005177D2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5177D2" w:rsidRPr="00A77456" w:rsidRDefault="00980C26" w:rsidP="005177D2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5177D2" w:rsidRPr="00D87AD1" w:rsidRDefault="00980C26" w:rsidP="005177D2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Les conséquences de la déforestation à Bornéo sur les populations d’orangs-outans</w:t>
      </w:r>
    </w:p>
    <w:p w:rsidR="003822A3" w:rsidRPr="005177D2" w:rsidRDefault="00980C26" w:rsidP="005177D2">
      <w:pPr>
        <w:spacing w:after="240"/>
        <w:rPr>
          <w:i/>
        </w:rPr>
      </w:pPr>
      <w:r w:rsidRPr="00D74F67">
        <w:rPr>
          <w:i/>
        </w:rPr>
        <w:t>Sur 10 points</w:t>
      </w:r>
    </w:p>
    <w:p w:rsidR="00510571" w:rsidRDefault="00980C26" w:rsidP="00CC3844">
      <w:pPr>
        <w:spacing w:after="120"/>
        <w:jc w:val="both"/>
      </w:pPr>
      <w:r>
        <w:t xml:space="preserve">Située en Asie du Sud-Est, à la jonction entre l’océan Indien et l’océan </w:t>
      </w:r>
      <w:r>
        <w:t>Pacifique, l’île de Bornéo représente 1 % des terres émergées. Elle détient 6 % de la biodiversité en lien avec sa richesse en écosystèmes (forêts tropicales, mangroves…). Ses forêts sont actuellement défrichées, notamment pour laisser place à des exploita</w:t>
      </w:r>
      <w:r>
        <w:t>tions agricoles comme les palmeraies.</w:t>
      </w:r>
      <w:r>
        <w:t xml:space="preserve"> </w:t>
      </w:r>
    </w:p>
    <w:p w:rsidR="001D0E06" w:rsidRPr="001D0E06" w:rsidRDefault="00980C26" w:rsidP="00CC3844">
      <w:pPr>
        <w:spacing w:after="120"/>
        <w:jc w:val="both"/>
      </w:pPr>
      <w:r>
        <w:t>Dans les forêts de Bornéo, vit une espèce de grand-singe, l’orang-outan (</w:t>
      </w:r>
      <w:r w:rsidRPr="007F1953">
        <w:rPr>
          <w:i/>
        </w:rPr>
        <w:t>Pongo pygmaeus</w:t>
      </w:r>
      <w:r>
        <w:t xml:space="preserve">), qui est en danger critique d’extinction (selon l’UICN). </w:t>
      </w:r>
      <w:r w:rsidRPr="001D0E06">
        <w:t>L'espèce est menacée par la perte de son habitat naturel</w:t>
      </w:r>
      <w:r>
        <w:t>.</w:t>
      </w:r>
    </w:p>
    <w:p w:rsidR="007F1953" w:rsidRDefault="00980C26" w:rsidP="00424A52">
      <w:pPr>
        <w:spacing w:after="120"/>
        <w:jc w:val="both"/>
      </w:pPr>
      <w:r w:rsidRPr="001D0E06">
        <w:t>Bien que l'AD</w:t>
      </w:r>
      <w:r w:rsidRPr="001D0E06">
        <w:t>N des orangs-outans est beaucoup plus diversifié que celui de l'espèce humaine, on s’intéresse aux conséquences possibles de la</w:t>
      </w:r>
      <w:r>
        <w:t xml:space="preserve"> déforestation sur la diversité génétique des populations d’orangs-outans.</w:t>
      </w:r>
    </w:p>
    <w:tbl>
      <w:tblPr>
        <w:tblStyle w:val="Grilledutableau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9"/>
        <w:gridCol w:w="4746"/>
      </w:tblGrid>
      <w:tr w:rsidR="00F63135" w:rsidTr="00424A52">
        <w:tc>
          <w:tcPr>
            <w:tcW w:w="4403" w:type="dxa"/>
          </w:tcPr>
          <w:p w:rsidR="00F63135" w:rsidRPr="001D0E06" w:rsidRDefault="00980C26" w:rsidP="00137864">
            <w:pPr>
              <w:spacing w:before="120" w:after="120"/>
              <w:jc w:val="center"/>
              <w:rPr>
                <w:b/>
                <w:bCs/>
              </w:rPr>
            </w:pPr>
            <w:r w:rsidRPr="001D0E06">
              <w:rPr>
                <w:b/>
                <w:bCs/>
              </w:rPr>
              <w:t>Orang-outan</w:t>
            </w:r>
          </w:p>
        </w:tc>
        <w:tc>
          <w:tcPr>
            <w:tcW w:w="4662" w:type="dxa"/>
          </w:tcPr>
          <w:p w:rsidR="00F63135" w:rsidRPr="001D0E06" w:rsidRDefault="00980C26" w:rsidP="00137864">
            <w:pPr>
              <w:spacing w:before="120" w:after="120"/>
              <w:jc w:val="center"/>
              <w:rPr>
                <w:b/>
                <w:bCs/>
              </w:rPr>
            </w:pPr>
            <w:r w:rsidRPr="001D0E06">
              <w:rPr>
                <w:b/>
                <w:bCs/>
              </w:rPr>
              <w:t>Île de Bornéo (Asie du Sud-Est)</w:t>
            </w:r>
          </w:p>
        </w:tc>
      </w:tr>
      <w:tr w:rsidR="00F63135" w:rsidTr="00424A52">
        <w:tc>
          <w:tcPr>
            <w:tcW w:w="4403" w:type="dxa"/>
          </w:tcPr>
          <w:p w:rsidR="00F63135" w:rsidRDefault="00980C26" w:rsidP="00F6313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A6DC03" wp14:editId="3E0C431A">
                  <wp:extent cx="2248524" cy="3248660"/>
                  <wp:effectExtent l="0" t="0" r="0" b="0"/>
                  <wp:docPr id="4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7"/>
                          <pic:cNvPicPr/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119" cy="3258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2" w:type="dxa"/>
          </w:tcPr>
          <w:p w:rsidR="00F63135" w:rsidRDefault="00980C26" w:rsidP="00AD7433">
            <w:pPr>
              <w:spacing w:before="120" w:after="1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5920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2870200" cy="3035300"/>
                  <wp:effectExtent l="0" t="0" r="6350" b="0"/>
                  <wp:wrapTopAndBottom/>
                  <wp:docPr id="5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14"/>
                          <pic:cNvPicPr/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200" cy="303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63135">
              <w:rPr>
                <w:sz w:val="20"/>
                <w:szCs w:val="20"/>
              </w:rPr>
              <w:t>Source</w:t>
            </w:r>
            <w:r w:rsidRPr="00F63135">
              <w:rPr>
                <w:sz w:val="20"/>
                <w:szCs w:val="20"/>
              </w:rPr>
              <w:t> : wikipedia</w:t>
            </w:r>
            <w:r>
              <w:rPr>
                <w:noProof/>
              </w:rPr>
              <w:t xml:space="preserve"> </w:t>
            </w:r>
          </w:p>
        </w:tc>
      </w:tr>
    </w:tbl>
    <w:p w:rsidR="00C26BBB" w:rsidRDefault="00980C26">
      <w:pPr>
        <w:spacing w:after="0" w:line="240" w:lineRule="auto"/>
      </w:pPr>
      <w:r>
        <w:br w:type="page"/>
      </w:r>
    </w:p>
    <w:p w:rsidR="00F63135" w:rsidRDefault="00980C26">
      <w:pPr>
        <w:spacing w:after="0" w:line="240" w:lineRule="auto"/>
      </w:pPr>
    </w:p>
    <w:p w:rsidR="00C26BBB" w:rsidRDefault="00980C26">
      <w:pPr>
        <w:spacing w:after="0" w:line="240" w:lineRule="auto"/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CD6752" w:rsidTr="00680ECF">
        <w:tc>
          <w:tcPr>
            <w:tcW w:w="9065" w:type="dxa"/>
          </w:tcPr>
          <w:p w:rsidR="00CD6752" w:rsidRDefault="00980C26" w:rsidP="004238E5">
            <w:pPr>
              <w:spacing w:before="120" w:after="120"/>
              <w:jc w:val="both"/>
              <w:rPr>
                <w:b/>
                <w:bCs/>
              </w:rPr>
            </w:pPr>
            <w:r w:rsidRPr="00B33527">
              <w:rPr>
                <w:b/>
                <w:u w:val="single"/>
              </w:rPr>
              <w:t>Document 1 :</w:t>
            </w:r>
            <w:r w:rsidRPr="00B33527">
              <w:rPr>
                <w:b/>
              </w:rPr>
              <w:t xml:space="preserve"> représentation</w:t>
            </w:r>
            <w:r>
              <w:rPr>
                <w:b/>
                <w:bCs/>
              </w:rPr>
              <w:t xml:space="preserve"> simplifiée de l'évolution de la forêt tropicale dans la région de Kalimantan entre 1970 et 2020 (île de Bornéo)</w:t>
            </w:r>
          </w:p>
          <w:p w:rsidR="00CD6752" w:rsidRDefault="00980C26" w:rsidP="00063F0B">
            <w:pPr>
              <w:spacing w:before="120" w:after="120"/>
              <w:jc w:val="center"/>
              <w:rPr>
                <w:bCs/>
              </w:rPr>
            </w:pPr>
            <w:r>
              <w:rPr>
                <w:rFonts w:cs="Arial"/>
                <w:noProof/>
              </w:rPr>
              <w:pict w14:anchorId="149C01FA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249.5pt;margin-top:194.85pt;width:161.25pt;height:40.5pt;z-index:2516628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" stroked="f">
                  <o:lock v:ext="edit" aspectratio="t" verticies="t" text="t" shapetype="t"/>
                  <v:textbox style="mso-next-textbox:#_x0000_s1027">
                    <w:txbxContent>
                      <w:p w:rsidR="00966EA8" w:rsidRDefault="00980C26" w:rsidP="00063F0B">
                        <w:pPr>
                          <w:jc w:val="center"/>
                        </w:pPr>
                        <w:r>
                          <w:t>Zone étudiée de la région de Kalimantan en 2020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 w14:anchorId="343625B0">
                <v:shape id="_x0000_s1031" type="#_x0000_t202" alt="" style="position:absolute;left:0;text-align:left;margin-left:28.4pt;margin-top:194.65pt;width:164.65pt;height:41.3pt;z-index:251664896;mso-wrap-style:square;mso-wrap-edited:f;mso-width-percent:0;mso-height-percent:0;mso-width-percent:0;mso-height-percent:0;v-text-anchor:top" stroked="f">
                  <v:textbox style="mso-next-textbox:#_x0000_s1031">
                    <w:txbxContent>
                      <w:p w:rsidR="00966EA8" w:rsidRDefault="00980C26" w:rsidP="00063F0B">
                        <w:pPr>
                          <w:jc w:val="center"/>
                        </w:pPr>
                        <w:r>
                          <w:t>Zone étudiée de la région de Kalimantan en</w:t>
                        </w:r>
                        <w:r>
                          <w:t xml:space="preserve"> 1970</w:t>
                        </w:r>
                      </w:p>
                    </w:txbxContent>
                  </v:textbox>
                </v:shape>
              </w:pict>
            </w:r>
            <w:r>
              <w:rPr>
                <w:rFonts w:cs="Arial"/>
                <w:noProof/>
                <w:szCs w:val="22"/>
              </w:rPr>
              <w:drawing>
                <wp:inline distT="0" distB="0" distL="0" distR="0" wp14:anchorId="027808FB" wp14:editId="56B3E3A8">
                  <wp:extent cx="5128260" cy="2385034"/>
                  <wp:effectExtent l="0" t="0" r="0" b="0"/>
                  <wp:docPr id="6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8260" cy="2385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6EA8" w:rsidRDefault="00980C26" w:rsidP="004238E5">
            <w:pPr>
              <w:spacing w:before="120" w:after="120"/>
            </w:pPr>
          </w:p>
          <w:p w:rsidR="00CD6752" w:rsidRDefault="00980C26" w:rsidP="004238E5">
            <w:pPr>
              <w:spacing w:before="120" w:after="120"/>
              <w:jc w:val="both"/>
            </w:pPr>
          </w:p>
          <w:p w:rsidR="00CD6752" w:rsidRPr="00CD6752" w:rsidRDefault="00980C26" w:rsidP="004238E5">
            <w:pPr>
              <w:spacing w:before="120" w:after="120" w:line="240" w:lineRule="auto"/>
              <w:rPr>
                <w:b/>
              </w:rPr>
            </w:pPr>
            <w:r>
              <w:t>Chaque carré a une aire de 100 km².</w:t>
            </w:r>
          </w:p>
          <w:p w:rsidR="00CD6752" w:rsidRDefault="00980C26" w:rsidP="004238E5">
            <w:pPr>
              <w:spacing w:before="120" w:after="120"/>
              <w:jc w:val="both"/>
            </w:pPr>
            <w:r>
              <w:t>Les carrés sombres correspondent à des zones recouvertes par de la forêt et les carrés blancs à des zones défrichées</w:t>
            </w:r>
          </w:p>
        </w:tc>
      </w:tr>
    </w:tbl>
    <w:p w:rsidR="00B33527" w:rsidRDefault="00980C26" w:rsidP="006D5D93">
      <w:pPr>
        <w:tabs>
          <w:tab w:val="left" w:pos="6048"/>
        </w:tabs>
        <w:jc w:val="both"/>
      </w:pPr>
    </w:p>
    <w:p w:rsidR="00103DA0" w:rsidRDefault="00980C26" w:rsidP="00C26BBB">
      <w:pPr>
        <w:tabs>
          <w:tab w:val="left" w:pos="6048"/>
        </w:tabs>
        <w:spacing w:after="120"/>
        <w:jc w:val="both"/>
      </w:pPr>
      <w:r w:rsidRPr="00A43F55">
        <w:rPr>
          <w:b/>
        </w:rPr>
        <w:t>1-</w:t>
      </w:r>
      <w:r>
        <w:t xml:space="preserve"> À l’aide du quadrillage fourni sur le document 1, déterminer l'impact de l'activité humaine sur la surface disponible pour les orangs-outans. Pour cela, calculer :</w:t>
      </w:r>
    </w:p>
    <w:p w:rsidR="00510571" w:rsidRDefault="00980C26" w:rsidP="00C26BBB">
      <w:pPr>
        <w:tabs>
          <w:tab w:val="left" w:pos="6048"/>
        </w:tabs>
        <w:spacing w:after="120"/>
        <w:ind w:left="426" w:hanging="142"/>
        <w:jc w:val="both"/>
        <w:rPr>
          <w:rFonts w:cs="Arial"/>
          <w:szCs w:val="22"/>
        </w:rPr>
      </w:pPr>
      <w:r>
        <w:t xml:space="preserve">- l’aire </w:t>
      </w:r>
      <w:bookmarkStart w:id="1" w:name="_Hlk58569047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1970</m:t>
            </m:r>
          </m:sub>
        </m:sSub>
      </m:oMath>
      <w:bookmarkEnd w:id="1"/>
      <w:r>
        <w:t xml:space="preserve"> de la surface de forêt disponible en 1970 dans la région de Kalimantan </w:t>
      </w:r>
      <w:r>
        <w:rPr>
          <w:rFonts w:cs="Arial"/>
          <w:szCs w:val="22"/>
        </w:rPr>
        <w:t>étud</w:t>
      </w:r>
      <w:r>
        <w:rPr>
          <w:rFonts w:cs="Arial"/>
          <w:szCs w:val="22"/>
        </w:rPr>
        <w:t>iée ;</w:t>
      </w:r>
    </w:p>
    <w:p w:rsidR="006D5D93" w:rsidRDefault="00980C26" w:rsidP="00C26BBB">
      <w:pPr>
        <w:tabs>
          <w:tab w:val="left" w:pos="6048"/>
        </w:tabs>
        <w:spacing w:after="120"/>
        <w:ind w:left="426" w:hanging="142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>
        <w:t xml:space="preserve">l’aire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2020</m:t>
            </m:r>
          </m:sub>
        </m:sSub>
      </m:oMath>
      <w:r>
        <w:t xml:space="preserve"> de la</w:t>
      </w:r>
      <w:r>
        <w:rPr>
          <w:rFonts w:cs="Arial"/>
          <w:szCs w:val="22"/>
        </w:rPr>
        <w:t xml:space="preserve"> surface de forêt disponible en 2020 dans la région de Kalimantan étudiée ;</w:t>
      </w:r>
    </w:p>
    <w:p w:rsidR="00B33527" w:rsidRDefault="00980C26" w:rsidP="00C26BBB">
      <w:pPr>
        <w:tabs>
          <w:tab w:val="left" w:pos="6048"/>
        </w:tabs>
        <w:spacing w:after="240"/>
        <w:ind w:left="426" w:hanging="142"/>
        <w:jc w:val="both"/>
      </w:pPr>
      <w:r>
        <w:t>- le pourcentage de diminution de l’aire de la surface disponible entre 1970 et 2020.</w:t>
      </w:r>
    </w:p>
    <w:p w:rsidR="00F63135" w:rsidRDefault="00980C26" w:rsidP="00C26BBB">
      <w:pPr>
        <w:spacing w:after="0" w:line="240" w:lineRule="auto"/>
        <w:ind w:left="426" w:hanging="142"/>
      </w:pPr>
      <w:r>
        <w:br w:type="page"/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966EA8" w:rsidTr="005A2F94">
        <w:tc>
          <w:tcPr>
            <w:tcW w:w="9065" w:type="dxa"/>
          </w:tcPr>
          <w:p w:rsidR="00966EA8" w:rsidRDefault="00980C26" w:rsidP="005A2F94">
            <w:pPr>
              <w:spacing w:before="120" w:after="120"/>
              <w:jc w:val="both"/>
            </w:pPr>
            <w:r w:rsidRPr="00D65C1D">
              <w:rPr>
                <w:b/>
                <w:bCs/>
                <w:u w:val="single"/>
              </w:rPr>
              <w:lastRenderedPageBreak/>
              <w:t>Document 2 :</w:t>
            </w:r>
            <w:r w:rsidRPr="00D65C1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simulation de l’é</w:t>
            </w:r>
            <w:r w:rsidRPr="00D65C1D">
              <w:rPr>
                <w:b/>
                <w:bCs/>
              </w:rPr>
              <w:t>volution de la fréquence de trois a</w:t>
            </w:r>
            <w:r w:rsidRPr="00D65C1D">
              <w:rPr>
                <w:b/>
                <w:bCs/>
              </w:rPr>
              <w:t>llèles d’un gène donné au cours des générations</w:t>
            </w:r>
          </w:p>
          <w:p w:rsidR="00966EA8" w:rsidRDefault="00980C26" w:rsidP="005A2F94">
            <w:pPr>
              <w:spacing w:after="240"/>
              <w:ind w:firstLine="4"/>
              <w:jc w:val="both"/>
            </w:pPr>
            <w:r>
              <w:t>Pour chaque graphique issu d’une simulation informatique, les différentes courbes représentent chacune l’évolution de la fréquence d’un des trois allèles d’un même gène au cours de quinze générations (pour un</w:t>
            </w:r>
            <w:r>
              <w:t>e population théorique). On réalise des simulations en faisant varier le nombre d’individus de la population initiale : 10 et 100 individus. Les résultats des simulations sont donnés ci-dessous.</w:t>
            </w:r>
          </w:p>
          <w:p w:rsidR="007971CC" w:rsidRDefault="00980C26" w:rsidP="00B33527">
            <w:pPr>
              <w:ind w:firstLine="4"/>
              <w:jc w:val="center"/>
            </w:pPr>
            <w:r>
              <w:rPr>
                <w:noProof/>
              </w:rPr>
              <w:drawing>
                <wp:inline distT="0" distB="0" distL="0" distR="0" wp14:anchorId="28E2D476" wp14:editId="600CFB6F">
                  <wp:extent cx="4590053" cy="2734905"/>
                  <wp:effectExtent l="0" t="0" r="1270" b="8890"/>
                  <wp:docPr id="7" name="Image 1" descr="C:\Users\bhare\Desktop\Mission académique\Pédagogie_Lycée\ES_Enseignement scientifique\Sujets_EC_Tle ES\Sujets\sujet-11 dec\fi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1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6407" cy="2768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6184" w:rsidRDefault="00980C26" w:rsidP="00B33527">
            <w:pPr>
              <w:ind w:firstLine="4"/>
              <w:jc w:val="center"/>
            </w:pPr>
            <w:r>
              <w:rPr>
                <w:noProof/>
              </w:rPr>
              <w:drawing>
                <wp:inline distT="0" distB="0" distL="0" distR="0" wp14:anchorId="3E9504BF" wp14:editId="167EB269">
                  <wp:extent cx="4596130" cy="2738527"/>
                  <wp:effectExtent l="0" t="0" r="0" b="5080"/>
                  <wp:docPr id="8" name="Image 3" descr="C:\Users\bhare\Desktop\Mission académique\Pédagogie_Lycée\ES_Enseignement scientifique\Sujets_EC_Tle ES\Sujets\sujet-11 dec\fig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3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0624" cy="2753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5FC0" w:rsidRDefault="00980C26">
      <w:pPr>
        <w:spacing w:after="0" w:line="240" w:lineRule="auto"/>
      </w:pPr>
      <w:r>
        <w:br w:type="page"/>
      </w:r>
    </w:p>
    <w:p w:rsidR="00966EA8" w:rsidRDefault="00980C26" w:rsidP="005E5FC0">
      <w:pPr>
        <w:tabs>
          <w:tab w:val="left" w:pos="6048"/>
        </w:tabs>
        <w:spacing w:after="240"/>
        <w:jc w:val="both"/>
      </w:pPr>
    </w:p>
    <w:p w:rsidR="00A43F55" w:rsidRDefault="00980C26" w:rsidP="005E5FC0">
      <w:pPr>
        <w:tabs>
          <w:tab w:val="left" w:pos="6048"/>
        </w:tabs>
        <w:spacing w:after="240"/>
        <w:jc w:val="both"/>
      </w:pPr>
      <w:r>
        <w:rPr>
          <w:b/>
        </w:rPr>
        <w:t>2</w:t>
      </w:r>
      <w:r w:rsidRPr="001D30E1">
        <w:rPr>
          <w:b/>
        </w:rPr>
        <w:t>-</w:t>
      </w:r>
      <w:r>
        <w:t> </w:t>
      </w:r>
      <w:r>
        <w:t xml:space="preserve">À partir de l’analyse de la simulation présentée </w:t>
      </w:r>
      <w:r>
        <w:t>dans le document 2, montrer que la taille de la population joue un rôle dans l’évolution des fréquences alléliques au cours des générations.</w:t>
      </w:r>
    </w:p>
    <w:p w:rsidR="007B34E8" w:rsidRDefault="00980C26" w:rsidP="005E5FC0">
      <w:pPr>
        <w:tabs>
          <w:tab w:val="left" w:pos="6048"/>
        </w:tabs>
        <w:spacing w:after="240"/>
        <w:jc w:val="both"/>
      </w:pPr>
      <w:r>
        <w:rPr>
          <w:b/>
        </w:rPr>
        <w:t>3</w:t>
      </w:r>
      <w:r w:rsidRPr="001D30E1">
        <w:rPr>
          <w:b/>
        </w:rPr>
        <w:t>-</w:t>
      </w:r>
      <w:r>
        <w:t> </w:t>
      </w:r>
      <w:r>
        <w:t>D’après vos connaissances, indiquer quelle force évolutive est à l'œuvre dans l’évolution des fréquences alléliq</w:t>
      </w:r>
      <w:r>
        <w:t>ues pour une petite population de 10 individus. Justifier votre réponse.</w:t>
      </w:r>
    </w:p>
    <w:p w:rsidR="007B34E8" w:rsidRDefault="00980C26" w:rsidP="005E5FC0">
      <w:pPr>
        <w:tabs>
          <w:tab w:val="left" w:pos="6048"/>
        </w:tabs>
        <w:spacing w:after="240"/>
        <w:jc w:val="both"/>
        <w:rPr>
          <w:szCs w:val="22"/>
        </w:rPr>
      </w:pPr>
      <w:r w:rsidRPr="001D30E1">
        <w:rPr>
          <w:b/>
        </w:rPr>
        <w:t>4-</w:t>
      </w:r>
      <w:r>
        <w:t> </w:t>
      </w:r>
      <w:r>
        <w:t>À l’aide des documents 1 et 2 et des connaissances, rédiger un paragraphe argumenté reliant la déforestation d’origine anthropique au risque d’appauvrissement génétique des populat</w:t>
      </w:r>
      <w:r>
        <w:t xml:space="preserve">ions d’orangs-outans de Bornéo. </w:t>
      </w:r>
      <w:r w:rsidRPr="00F63135">
        <w:t xml:space="preserve">Proposer des mesures qui permettraient </w:t>
      </w:r>
      <w:r>
        <w:t xml:space="preserve">prioritairement </w:t>
      </w:r>
      <w:r w:rsidRPr="00F63135">
        <w:t xml:space="preserve">de </w:t>
      </w:r>
      <w:r>
        <w:t xml:space="preserve">protéger les </w:t>
      </w:r>
      <w:r w:rsidRPr="00F63135">
        <w:t>populations</w:t>
      </w:r>
      <w:r>
        <w:t xml:space="preserve"> d’orangs-outans et également de </w:t>
      </w:r>
      <w:r w:rsidRPr="00F63135">
        <w:t>conserver l</w:t>
      </w:r>
      <w:r>
        <w:t>eur</w:t>
      </w:r>
      <w:r w:rsidRPr="00F63135">
        <w:t xml:space="preserve"> diversité génétique.</w:t>
      </w:r>
    </w:p>
    <w:sectPr w:rsidR="007B34E8" w:rsidSect="00E61EB3">
      <w:headerReference w:type="even" r:id="rId21"/>
      <w:headerReference w:type="default" r:id="rId22"/>
      <w:footerReference w:type="even" r:id="rId23"/>
      <w:footerReference w:type="default" r:id="rId24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0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80C26" w:rsidRPr="00980C26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80C26" w:rsidRPr="00980C26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9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80C26" w:rsidRPr="00980C26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80C26" w:rsidRPr="00980C26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2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1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80C26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FC5C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embeddings/oleObject1.bin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24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10" Type="http://schemas.openxmlformats.org/officeDocument/2006/relationships/hyperlink" Target="https://www.connaissancedesenergies.org/la-production-delectricite-en-france-metropolitaine-tous-les-chiffres-cles-de-2019-200212-0" TargetMode="External"/><Relationship Id="rId19" Type="http://schemas.openxmlformats.org/officeDocument/2006/relationships/image" Target="media/image8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1175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