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6C0C25">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6C0C25">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6C0C25">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6C0C25">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6C0C25">
              <w:rPr>
                <w:rFonts w:eastAsia="Times New Roman"/>
                <w:b/>
                <w:color w:val="000000" w:themeColor="text1"/>
                <w:sz w:val="20"/>
                <w:szCs w:val="22"/>
              </w:rPr>
              <w:t xml:space="preserve"> </w:t>
            </w:r>
            <w:r w:rsidR="006C0C25">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6C0C25"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6C0C25">
              <w:rPr>
                <w:rFonts w:eastAsia="Times New Roman"/>
                <w:color w:val="000000" w:themeColor="text1"/>
                <w:sz w:val="20"/>
                <w:szCs w:val="22"/>
              </w:rPr>
              <w:t xml:space="preserve">isés (LV) : </w:t>
            </w:r>
            <w:r w:rsidR="006C0C25">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6C0C25">
              <w:rPr>
                <w:rFonts w:eastAsia="Times New Roman"/>
                <w:color w:val="000000" w:themeColor="text1"/>
                <w:sz w:val="20"/>
                <w:szCs w:val="22"/>
              </w:rPr>
              <w:t xml:space="preserve"> </w:t>
            </w:r>
            <w:r w:rsidR="006C0C25">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6C0C25">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6C0C25">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6C0C25">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C0C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C0C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C0C2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6C0C25" w:rsidRPr="00626E0F">
              <w:rPr>
                <w:rFonts w:eastAsia="Times New Roman"/>
                <w:color w:val="000000" w:themeColor="text1"/>
                <w:sz w:val="20"/>
                <w:szCs w:val="22"/>
              </w:rPr>
              <w:t xml:space="preserve"> </w:t>
            </w:r>
            <w:r w:rsidR="006C0C25">
              <w:rPr>
                <w:rFonts w:eastAsia="Times New Roman"/>
                <w:color w:val="000000" w:themeColor="text1"/>
                <w:sz w:val="20"/>
                <w:szCs w:val="22"/>
              </w:rPr>
              <w:fldChar w:fldCharType="begin"/>
            </w:r>
            <w:r w:rsidR="006C0C25">
              <w:rPr>
                <w:rFonts w:eastAsia="Times New Roman"/>
                <w:color w:val="000000" w:themeColor="text1"/>
                <w:sz w:val="20"/>
                <w:szCs w:val="22"/>
              </w:rPr>
              <w:instrText xml:space="preserve"> NUMPAGES   \* MERGEFORMAT </w:instrText>
            </w:r>
            <w:r w:rsidR="006C0C25">
              <w:rPr>
                <w:rFonts w:eastAsia="Times New Roman"/>
                <w:color w:val="000000" w:themeColor="text1"/>
                <w:sz w:val="20"/>
                <w:szCs w:val="22"/>
              </w:rPr>
              <w:fldChar w:fldCharType="separate"/>
            </w:r>
            <w:r w:rsidR="006C0C25">
              <w:rPr>
                <w:rFonts w:eastAsia="Times New Roman"/>
                <w:noProof/>
                <w:color w:val="000000" w:themeColor="text1"/>
                <w:sz w:val="20"/>
                <w:szCs w:val="22"/>
              </w:rPr>
              <w:t>7</w:t>
            </w:r>
            <w:r w:rsidR="006C0C25">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6C0C25"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6C0C25"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2C7EAE" w:rsidRPr="00A77456" w:rsidRDefault="006C0C25" w:rsidP="002C7EAE">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2C7EAE" w:rsidRPr="00A77456" w:rsidRDefault="006C0C25" w:rsidP="002C7EAE">
      <w:pPr>
        <w:spacing w:after="240"/>
        <w:jc w:val="center"/>
        <w:rPr>
          <w:rFonts w:eastAsia="Arial" w:cs="Arial"/>
          <w:i/>
        </w:rPr>
      </w:pPr>
      <w:r w:rsidRPr="00A77456">
        <w:rPr>
          <w:rFonts w:eastAsia="Arial" w:cs="Arial"/>
          <w:i/>
        </w:rPr>
        <w:t>Thème « </w:t>
      </w:r>
      <w:r>
        <w:rPr>
          <w:rFonts w:eastAsia="Arial" w:cs="Arial"/>
          <w:i/>
        </w:rPr>
        <w:t>Une histoire du vivant »</w:t>
      </w:r>
    </w:p>
    <w:p w:rsidR="002C7EAE" w:rsidRPr="00D87AD1" w:rsidRDefault="006C0C25" w:rsidP="002C7EAE">
      <w:pPr>
        <w:spacing w:after="120"/>
        <w:rPr>
          <w:b/>
          <w:sz w:val="22"/>
        </w:rPr>
      </w:pPr>
      <w:r>
        <w:rPr>
          <w:b/>
          <w:sz w:val="28"/>
        </w:rPr>
        <w:t>Des moustiques résistants aux insecticides</w:t>
      </w:r>
    </w:p>
    <w:p w:rsidR="002C7EAE" w:rsidRPr="000E2C8B" w:rsidRDefault="006C0C25" w:rsidP="002C7EAE">
      <w:pPr>
        <w:spacing w:after="0"/>
        <w:rPr>
          <w:i/>
        </w:rPr>
      </w:pPr>
      <w:r w:rsidRPr="00D74F67">
        <w:rPr>
          <w:i/>
        </w:rPr>
        <w:t>Sur 10 points</w:t>
      </w:r>
    </w:p>
    <w:p w:rsidR="00F13A3B" w:rsidRDefault="006C0C25" w:rsidP="00AF170B">
      <w:pPr>
        <w:shd w:val="clear" w:color="auto" w:fill="FFFFFF"/>
        <w:spacing w:after="0" w:line="240" w:lineRule="auto"/>
        <w:rPr>
          <w:rFonts w:eastAsia="Times New Roman" w:cs="Arial"/>
          <w:color w:val="2D2D2D"/>
        </w:rPr>
      </w:pPr>
    </w:p>
    <w:p w:rsidR="003D2908" w:rsidRDefault="006C0C25" w:rsidP="002C7EAE">
      <w:pPr>
        <w:shd w:val="clear" w:color="auto" w:fill="FFFFFF"/>
        <w:spacing w:after="120" w:line="240" w:lineRule="auto"/>
        <w:jc w:val="both"/>
        <w:rPr>
          <w:rFonts w:eastAsia="Times New Roman" w:cs="Arial"/>
          <w:color w:val="2D2D2D"/>
        </w:rPr>
      </w:pPr>
      <w:r w:rsidRPr="0092074A">
        <w:rPr>
          <w:rFonts w:eastAsia="Times New Roman" w:cs="Arial"/>
          <w:color w:val="2D2D2D"/>
        </w:rPr>
        <w:t>De 1968 à 2002, la population</w:t>
      </w:r>
      <w:r w:rsidRPr="0092074A">
        <w:rPr>
          <w:rFonts w:eastAsia="Times New Roman" w:cs="Arial"/>
          <w:color w:val="2D2D2D"/>
        </w:rPr>
        <w:t xml:space="preserve"> de moustiques</w:t>
      </w:r>
      <w:r>
        <w:rPr>
          <w:rFonts w:eastAsia="Times New Roman" w:cs="Arial"/>
          <w:color w:val="2D2D2D"/>
        </w:rPr>
        <w:t xml:space="preserve"> </w:t>
      </w:r>
      <w:r w:rsidRPr="0092074A">
        <w:rPr>
          <w:rFonts w:eastAsia="Times New Roman" w:cs="Arial"/>
          <w:i/>
          <w:iCs/>
          <w:color w:val="2D2D2D"/>
          <w:bdr w:val="none" w:sz="0" w:space="0" w:color="auto" w:frame="1"/>
        </w:rPr>
        <w:t xml:space="preserve">Culex pipiens </w:t>
      </w:r>
      <w:r w:rsidRPr="00AF170B">
        <w:rPr>
          <w:rFonts w:eastAsia="Times New Roman" w:cs="Arial"/>
          <w:iCs/>
          <w:color w:val="2D2D2D"/>
          <w:bdr w:val="none" w:sz="0" w:space="0" w:color="auto" w:frame="1"/>
        </w:rPr>
        <w:t>a été</w:t>
      </w:r>
      <w:r w:rsidRPr="0092074A">
        <w:rPr>
          <w:rFonts w:eastAsia="Times New Roman" w:cs="Arial"/>
          <w:color w:val="2D2D2D"/>
        </w:rPr>
        <w:t xml:space="preserve"> contrôlée dans le sud de la France par l’épandage d’insecticides sur les étendues d’eau dans lesquelles se développent leurs larves. </w:t>
      </w:r>
    </w:p>
    <w:p w:rsidR="00C77660" w:rsidRPr="0092074A" w:rsidRDefault="006C0C25" w:rsidP="002C7EAE">
      <w:pPr>
        <w:shd w:val="clear" w:color="auto" w:fill="FFFFFF"/>
        <w:spacing w:after="240" w:line="240" w:lineRule="auto"/>
        <w:jc w:val="both"/>
        <w:rPr>
          <w:rFonts w:eastAsia="Times New Roman" w:cs="Arial"/>
          <w:color w:val="2D2D2D"/>
        </w:rPr>
      </w:pPr>
      <w:r w:rsidRPr="0092074A">
        <w:rPr>
          <w:rFonts w:eastAsia="Times New Roman" w:cs="Arial"/>
          <w:color w:val="2D2D2D"/>
        </w:rPr>
        <w:t xml:space="preserve">On s’intéresse à la résistance développée par certains moustiques à ces insecticides </w:t>
      </w:r>
      <w:r w:rsidRPr="0092074A">
        <w:rPr>
          <w:rFonts w:eastAsia="Times New Roman" w:cs="Arial"/>
          <w:color w:val="2D2D2D"/>
        </w:rPr>
        <w:t>dans la région de Montpellier.</w:t>
      </w:r>
      <w:r>
        <w:rPr>
          <w:rFonts w:eastAsia="Times New Roman" w:cs="Arial"/>
          <w:color w:val="2D2D2D"/>
        </w:rPr>
        <w:t xml:space="preserve"> </w:t>
      </w:r>
    </w:p>
    <w:p w:rsidR="00C77660" w:rsidRPr="00C77660" w:rsidRDefault="006C0C25"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Document 1 </w:t>
      </w:r>
      <w:r w:rsidRPr="00C77660">
        <w:rPr>
          <w:rFonts w:eastAsia="Times New Roman" w:cs="Arial"/>
          <w:color w:val="2D2D2D"/>
          <w:u w:val="single"/>
          <w:bdr w:val="none" w:sz="0" w:space="0" w:color="auto" w:frame="1"/>
        </w:rPr>
        <w:t xml:space="preserve">: </w:t>
      </w:r>
      <w:r w:rsidRPr="00C77660">
        <w:rPr>
          <w:rFonts w:eastAsia="Times New Roman" w:cs="Arial"/>
          <w:b/>
          <w:bCs/>
          <w:color w:val="2D2D2D"/>
          <w:u w:val="single"/>
          <w:bdr w:val="none" w:sz="0" w:space="0" w:color="auto" w:frame="1"/>
        </w:rPr>
        <w:t>résistance de</w:t>
      </w:r>
      <w:r>
        <w:rPr>
          <w:rFonts w:eastAsia="Times New Roman" w:cs="Arial"/>
          <w:b/>
          <w:bCs/>
          <w:color w:val="2D2D2D"/>
          <w:u w:val="single"/>
          <w:bdr w:val="none" w:sz="0" w:space="0" w:color="auto" w:frame="1"/>
        </w:rPr>
        <w:t xml:space="preserve"> </w:t>
      </w:r>
      <w:r w:rsidRPr="00C77660">
        <w:rPr>
          <w:rFonts w:eastAsia="Times New Roman" w:cs="Arial"/>
          <w:b/>
          <w:bCs/>
          <w:i/>
          <w:iCs/>
          <w:color w:val="2D2D2D"/>
          <w:u w:val="single"/>
          <w:bdr w:val="none" w:sz="0" w:space="0" w:color="auto" w:frame="1"/>
        </w:rPr>
        <w:t>Culex pipiens</w:t>
      </w:r>
      <w:r>
        <w:rPr>
          <w:rFonts w:eastAsia="Times New Roman" w:cs="Arial"/>
          <w:b/>
          <w:bCs/>
          <w:color w:val="2D2D2D"/>
          <w:u w:val="single"/>
          <w:bdr w:val="none" w:sz="0" w:space="0" w:color="auto" w:frame="1"/>
        </w:rPr>
        <w:t xml:space="preserve"> aux insecticides</w:t>
      </w:r>
    </w:p>
    <w:p w:rsidR="00F15CB6" w:rsidRDefault="006C0C25"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D</w:t>
      </w:r>
      <w:r w:rsidRPr="0092074A">
        <w:rPr>
          <w:rFonts w:eastAsia="Times New Roman" w:cs="Arial"/>
          <w:color w:val="2D2D2D"/>
          <w:bdr w:val="none" w:sz="0" w:space="0" w:color="auto" w:frame="1"/>
        </w:rPr>
        <w:t>es insecticides</w:t>
      </w:r>
      <w:r>
        <w:rPr>
          <w:rFonts w:eastAsia="Times New Roman" w:cs="Arial"/>
          <w:color w:val="2D2D2D"/>
          <w:bdr w:val="none" w:sz="0" w:space="0" w:color="auto" w:frame="1"/>
        </w:rPr>
        <w:t xml:space="preserve"> organophosphorés ont été utilisés</w:t>
      </w:r>
      <w:r w:rsidRPr="009023B5">
        <w:rPr>
          <w:rFonts w:eastAsia="Times New Roman" w:cs="Arial"/>
          <w:color w:val="2D2D2D"/>
          <w:bdr w:val="none" w:sz="0" w:space="0" w:color="auto" w:frame="1"/>
        </w:rPr>
        <w:t xml:space="preserve"> </w:t>
      </w:r>
      <w:r>
        <w:rPr>
          <w:rFonts w:eastAsia="Times New Roman" w:cs="Arial"/>
          <w:color w:val="2D2D2D"/>
          <w:bdr w:val="none" w:sz="0" w:space="0" w:color="auto" w:frame="1"/>
        </w:rPr>
        <w:t>p</w:t>
      </w:r>
      <w:r w:rsidRPr="0092074A">
        <w:rPr>
          <w:rFonts w:eastAsia="Times New Roman" w:cs="Arial"/>
          <w:color w:val="2D2D2D"/>
          <w:bdr w:val="none" w:sz="0" w:space="0" w:color="auto" w:frame="1"/>
        </w:rPr>
        <w:t>our lutter contre le moustique</w:t>
      </w:r>
      <w:r>
        <w:rPr>
          <w:rFonts w:eastAsia="Times New Roman" w:cs="Arial"/>
          <w:color w:val="2D2D2D"/>
          <w:bdr w:val="none" w:sz="0" w:space="0" w:color="auto" w:frame="1"/>
        </w:rPr>
        <w:t xml:space="preserve"> </w:t>
      </w:r>
      <w:r w:rsidRPr="0092074A">
        <w:rPr>
          <w:rFonts w:eastAsia="Times New Roman" w:cs="Arial"/>
          <w:i/>
          <w:iCs/>
          <w:color w:val="2D2D2D"/>
          <w:bdr w:val="none" w:sz="0" w:space="0" w:color="auto" w:frame="1"/>
        </w:rPr>
        <w:t>Culex pipiens</w:t>
      </w:r>
      <w:r>
        <w:rPr>
          <w:rFonts w:eastAsia="Times New Roman" w:cs="Arial"/>
          <w:i/>
          <w:iCs/>
          <w:color w:val="2D2D2D"/>
          <w:bdr w:val="none" w:sz="0" w:space="0" w:color="auto" w:frame="1"/>
        </w:rPr>
        <w:t>.</w:t>
      </w:r>
      <w:r>
        <w:rPr>
          <w:rFonts w:eastAsia="Times New Roman" w:cs="Arial"/>
          <w:color w:val="2D2D2D"/>
          <w:bdr w:val="none" w:sz="0" w:space="0" w:color="auto" w:frame="1"/>
        </w:rPr>
        <w:t xml:space="preserve"> Certains moustiques y sont devenus résistants. </w:t>
      </w:r>
      <w:r w:rsidRPr="0092074A">
        <w:rPr>
          <w:rFonts w:eastAsia="Times New Roman" w:cs="Arial"/>
          <w:color w:val="2D2D2D"/>
          <w:bdr w:val="none" w:sz="0" w:space="0" w:color="auto" w:frame="1"/>
        </w:rPr>
        <w:t xml:space="preserve">L’étude du génome du </w:t>
      </w:r>
      <w:r w:rsidRPr="0092074A">
        <w:rPr>
          <w:rFonts w:eastAsia="Times New Roman" w:cs="Arial"/>
          <w:color w:val="2D2D2D"/>
          <w:bdr w:val="none" w:sz="0" w:space="0" w:color="auto" w:frame="1"/>
        </w:rPr>
        <w:t>moustique a montré qu</w:t>
      </w:r>
      <w:r>
        <w:rPr>
          <w:rFonts w:eastAsia="Times New Roman" w:cs="Arial"/>
          <w:color w:val="2D2D2D"/>
          <w:bdr w:val="none" w:sz="0" w:space="0" w:color="auto" w:frame="1"/>
        </w:rPr>
        <w:t>e le moustique</w:t>
      </w:r>
      <w:r w:rsidRPr="0092074A">
        <w:rPr>
          <w:rFonts w:eastAsia="Times New Roman" w:cs="Arial"/>
          <w:color w:val="2D2D2D"/>
          <w:bdr w:val="none" w:sz="0" w:space="0" w:color="auto" w:frame="1"/>
        </w:rPr>
        <w:t xml:space="preserve"> possédait </w:t>
      </w:r>
      <w:r>
        <w:rPr>
          <w:rFonts w:eastAsia="Times New Roman" w:cs="Arial"/>
          <w:color w:val="2D2D2D"/>
          <w:bdr w:val="none" w:sz="0" w:space="0" w:color="auto" w:frame="1"/>
        </w:rPr>
        <w:t>un</w:t>
      </w:r>
      <w:r w:rsidRPr="0092074A">
        <w:rPr>
          <w:rFonts w:eastAsia="Times New Roman" w:cs="Arial"/>
          <w:color w:val="2D2D2D"/>
          <w:bdr w:val="none" w:sz="0" w:space="0" w:color="auto" w:frame="1"/>
        </w:rPr>
        <w:t xml:space="preserve"> gène codant</w:t>
      </w:r>
      <w:r>
        <w:rPr>
          <w:rFonts w:eastAsia="Times New Roman" w:cs="Arial"/>
          <w:color w:val="2D2D2D"/>
          <w:bdr w:val="none" w:sz="0" w:space="0" w:color="auto" w:frame="1"/>
        </w:rPr>
        <w:t xml:space="preserve"> une molécule (</w:t>
      </w:r>
      <w:r w:rsidRPr="003D6E56">
        <w:rPr>
          <w:rFonts w:eastAsia="Times New Roman" w:cs="Arial"/>
          <w:color w:val="2D2D2D"/>
          <w:bdr w:val="none" w:sz="0" w:space="0" w:color="auto" w:frame="1"/>
        </w:rPr>
        <w:t>enzyme</w:t>
      </w:r>
      <w:r>
        <w:rPr>
          <w:rFonts w:eastAsia="Times New Roman" w:cs="Arial"/>
          <w:color w:val="2D2D2D"/>
          <w:bdr w:val="none" w:sz="0" w:space="0" w:color="auto" w:frame="1"/>
        </w:rPr>
        <w: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sous deux allèles : </w:t>
      </w:r>
    </w:p>
    <w:p w:rsidR="00F15CB6" w:rsidRPr="00F13A3B" w:rsidRDefault="006C0C25" w:rsidP="003D1826">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R (résistance) conférant la capacité de résister</w:t>
      </w:r>
      <w:r w:rsidRPr="00F13A3B" w:rsidDel="000A36D8">
        <w:rPr>
          <w:rFonts w:eastAsia="Times New Roman" w:cs="Arial"/>
          <w:color w:val="2D2D2D"/>
          <w:bdr w:val="none" w:sz="0" w:space="0" w:color="auto" w:frame="1"/>
        </w:rPr>
        <w:t xml:space="preserve"> </w:t>
      </w:r>
      <w:r w:rsidRPr="00F13A3B">
        <w:rPr>
          <w:rFonts w:eastAsia="Times New Roman" w:cs="Arial"/>
          <w:color w:val="2D2D2D"/>
          <w:bdr w:val="none" w:sz="0" w:space="0" w:color="auto" w:frame="1"/>
        </w:rPr>
        <w:t>aux insecticides ;</w:t>
      </w:r>
    </w:p>
    <w:p w:rsidR="006A05AD" w:rsidRPr="00F13A3B" w:rsidRDefault="006C0C25"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bdr w:val="none" w:sz="0" w:space="0" w:color="auto" w:frame="1"/>
        </w:rPr>
      </w:pPr>
      <w:r>
        <w:rPr>
          <w:rFonts w:eastAsia="Times New Roman" w:cs="Arial"/>
          <w:color w:val="2D2D2D"/>
          <w:bdr w:val="none" w:sz="0" w:space="0" w:color="auto" w:frame="1"/>
        </w:rPr>
        <w:t xml:space="preserve">    • </w:t>
      </w:r>
      <w:r w:rsidRPr="00F13A3B">
        <w:rPr>
          <w:rFonts w:eastAsia="Times New Roman" w:cs="Arial"/>
          <w:color w:val="2D2D2D"/>
          <w:bdr w:val="none" w:sz="0" w:space="0" w:color="auto" w:frame="1"/>
        </w:rPr>
        <w:t>l’allèle S (sensible).</w:t>
      </w:r>
    </w:p>
    <w:p w:rsidR="003D6E56" w:rsidRPr="0092074A" w:rsidRDefault="006C0C25" w:rsidP="003D1826">
      <w:pPr>
        <w:pBdr>
          <w:top w:val="single" w:sz="4" w:space="6" w:color="auto"/>
          <w:left w:val="single" w:sz="4" w:space="4" w:color="auto"/>
          <w:bottom w:val="single" w:sz="4" w:space="6" w:color="auto"/>
          <w:right w:val="single" w:sz="4" w:space="4" w:color="auto"/>
        </w:pBdr>
        <w:shd w:val="clear" w:color="auto" w:fill="FFFFFF" w:themeFill="background1"/>
        <w:spacing w:after="120" w:line="240" w:lineRule="auto"/>
        <w:jc w:val="both"/>
        <w:rPr>
          <w:rFonts w:eastAsia="Times New Roman" w:cs="Arial"/>
          <w:color w:val="2D2D2D"/>
        </w:rPr>
      </w:pPr>
      <w:r>
        <w:rPr>
          <w:rFonts w:eastAsia="Times New Roman" w:cs="Arial"/>
          <w:color w:val="2D2D2D"/>
          <w:bdr w:val="none" w:sz="0" w:space="0" w:color="auto" w:frame="1"/>
        </w:rPr>
        <w:t xml:space="preserve">On observe que la quantité de cette </w:t>
      </w:r>
      <w:r>
        <w:rPr>
          <w:rFonts w:eastAsia="Times New Roman" w:cs="Arial"/>
          <w:color w:val="2D2D2D"/>
          <w:bdr w:val="none" w:sz="0" w:space="0" w:color="auto" w:frame="1"/>
        </w:rPr>
        <w:t>enzyme produite dépend du génotype du moustique. On constate que la</w:t>
      </w:r>
      <w:r w:rsidRPr="0092074A">
        <w:rPr>
          <w:rFonts w:eastAsia="Times New Roman" w:cs="Arial"/>
          <w:color w:val="2D2D2D"/>
          <w:bdr w:val="none" w:sz="0" w:space="0" w:color="auto" w:frame="1"/>
        </w:rPr>
        <w:t xml:space="preserve"> quantité </w:t>
      </w:r>
      <w:r>
        <w:rPr>
          <w:rFonts w:eastAsia="Times New Roman" w:cs="Arial"/>
          <w:color w:val="2D2D2D"/>
        </w:rPr>
        <w:t>de</w:t>
      </w:r>
      <w:r>
        <w:rPr>
          <w:rFonts w:eastAsia="Times New Roman" w:cs="Arial"/>
          <w:color w:val="2D2D2D"/>
          <w:bdr w:val="none" w:sz="0" w:space="0" w:color="auto" w:frame="1"/>
        </w:rPr>
        <w:t xml:space="preserve"> celle-ci</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est</w:t>
      </w:r>
      <w:r w:rsidRPr="0092074A">
        <w:rPr>
          <w:rFonts w:eastAsia="Times New Roman" w:cs="Arial"/>
          <w:color w:val="2D2D2D"/>
          <w:bdr w:val="none" w:sz="0" w:space="0" w:color="auto" w:frame="1"/>
        </w:rPr>
        <w:t xml:space="preserve"> </w:t>
      </w:r>
      <w:r>
        <w:rPr>
          <w:rFonts w:eastAsia="Times New Roman" w:cs="Arial"/>
          <w:color w:val="2D2D2D"/>
          <w:bdr w:val="none" w:sz="0" w:space="0" w:color="auto" w:frame="1"/>
        </w:rPr>
        <w:t xml:space="preserve">ainsi </w:t>
      </w:r>
      <w:r w:rsidRPr="0092074A">
        <w:rPr>
          <w:rFonts w:eastAsia="Times New Roman" w:cs="Arial"/>
          <w:color w:val="2D2D2D"/>
          <w:bdr w:val="none" w:sz="0" w:space="0" w:color="auto" w:frame="1"/>
        </w:rPr>
        <w:t>500 fois plus importante chez un moustique résistant que chez un moustique sensible.</w:t>
      </w:r>
    </w:p>
    <w:p w:rsidR="003D6E56" w:rsidRPr="0092074A" w:rsidRDefault="006C0C25" w:rsidP="003D6E56">
      <w:pPr>
        <w:shd w:val="clear" w:color="auto" w:fill="FFFFFF"/>
        <w:spacing w:after="0" w:line="240" w:lineRule="auto"/>
        <w:rPr>
          <w:rFonts w:eastAsia="Times New Roman" w:cs="Arial"/>
          <w:color w:val="2D2D2D"/>
        </w:rPr>
      </w:pPr>
    </w:p>
    <w:p w:rsidR="00C77660" w:rsidRDefault="006C0C25"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rPr>
          <w:rFonts w:eastAsia="Times New Roman" w:cs="Arial"/>
          <w:b/>
          <w:bCs/>
          <w:color w:val="2D2D2D"/>
          <w:u w:val="single"/>
          <w:bdr w:val="none" w:sz="0" w:space="0" w:color="auto" w:frame="1"/>
        </w:rPr>
      </w:pPr>
      <w:r w:rsidRPr="00C77660">
        <w:rPr>
          <w:rFonts w:eastAsia="Times New Roman" w:cs="Arial"/>
          <w:b/>
          <w:bCs/>
          <w:color w:val="2D2D2D"/>
          <w:u w:val="single"/>
          <w:bdr w:val="none" w:sz="0" w:space="0" w:color="auto" w:frame="1"/>
        </w:rPr>
        <w:t xml:space="preserve">Document 2 : </w:t>
      </w:r>
      <w:r>
        <w:rPr>
          <w:rFonts w:eastAsia="Times New Roman" w:cs="Arial"/>
          <w:b/>
          <w:bCs/>
          <w:color w:val="2D2D2D"/>
          <w:u w:val="single"/>
          <w:bdr w:val="none" w:sz="0" w:space="0" w:color="auto" w:frame="1"/>
        </w:rPr>
        <w:t>a</w:t>
      </w:r>
      <w:r w:rsidRPr="00C77660">
        <w:rPr>
          <w:rFonts w:eastAsia="Times New Roman" w:cs="Arial"/>
          <w:b/>
          <w:bCs/>
          <w:color w:val="2D2D2D"/>
          <w:u w:val="single"/>
          <w:bdr w:val="none" w:sz="0" w:space="0" w:color="auto" w:frame="1"/>
        </w:rPr>
        <w:t xml:space="preserve">ction de l’enzyme sur </w:t>
      </w:r>
      <w:r>
        <w:rPr>
          <w:rFonts w:eastAsia="Times New Roman" w:cs="Arial"/>
          <w:b/>
          <w:bCs/>
          <w:color w:val="2D2D2D"/>
          <w:u w:val="single"/>
          <w:bdr w:val="none" w:sz="0" w:space="0" w:color="auto" w:frame="1"/>
        </w:rPr>
        <w:t>un insecticide, le parathion</w:t>
      </w:r>
    </w:p>
    <w:p w:rsidR="00C77660" w:rsidRDefault="006C0C25"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 xml:space="preserve">Le </w:t>
      </w:r>
      <w:r w:rsidRPr="0092074A">
        <w:rPr>
          <w:rFonts w:eastAsia="Times New Roman" w:cs="Arial"/>
          <w:color w:val="2D2D2D"/>
        </w:rPr>
        <w:t>parathion est, comme tous les insecticides organophosphorés, un</w:t>
      </w:r>
      <w:r>
        <w:rPr>
          <w:rFonts w:eastAsia="Times New Roman" w:cs="Arial"/>
          <w:color w:val="2D2D2D"/>
        </w:rPr>
        <w:t xml:space="preserve">e molécule </w:t>
      </w:r>
      <w:r w:rsidRPr="0092074A">
        <w:rPr>
          <w:rFonts w:eastAsia="Times New Roman" w:cs="Arial"/>
          <w:color w:val="2D2D2D"/>
        </w:rPr>
        <w:t xml:space="preserve">qui altère le fonctionnement du système nerveux du moustique entraînant sa mort. Pour qu’il soit efficace, il doit pénétrer dans l’organisme de l’insecte et atteindre </w:t>
      </w:r>
      <w:r>
        <w:rPr>
          <w:rFonts w:eastAsia="Times New Roman" w:cs="Arial"/>
          <w:color w:val="2D2D2D"/>
        </w:rPr>
        <w:t>son</w:t>
      </w:r>
      <w:r w:rsidRPr="0092074A">
        <w:rPr>
          <w:rFonts w:eastAsia="Times New Roman" w:cs="Arial"/>
          <w:color w:val="2D2D2D"/>
        </w:rPr>
        <w:t xml:space="preserve"> système ner</w:t>
      </w:r>
      <w:r w:rsidRPr="0092074A">
        <w:rPr>
          <w:rFonts w:eastAsia="Times New Roman" w:cs="Arial"/>
          <w:color w:val="2D2D2D"/>
        </w:rPr>
        <w:t>veux</w:t>
      </w:r>
      <w:r>
        <w:rPr>
          <w:rFonts w:eastAsia="Times New Roman" w:cs="Arial"/>
          <w:color w:val="2D2D2D"/>
        </w:rPr>
        <w:t>.</w:t>
      </w:r>
    </w:p>
    <w:p w:rsidR="00C77660" w:rsidRPr="00AF170B" w:rsidRDefault="006C0C25" w:rsidP="009100DF">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szCs w:val="22"/>
        </w:rPr>
      </w:pPr>
      <w:r>
        <w:rPr>
          <w:rFonts w:eastAsia="Times New Roman" w:cs="Arial"/>
          <w:color w:val="2D2D2D"/>
        </w:rPr>
        <w:t xml:space="preserve">Chez le moustique </w:t>
      </w:r>
      <w:r w:rsidRPr="00C159C9">
        <w:rPr>
          <w:rFonts w:eastAsia="Times New Roman" w:cs="Arial"/>
          <w:color w:val="2D2D2D"/>
          <w:szCs w:val="22"/>
        </w:rPr>
        <w:t xml:space="preserve">résistant </w:t>
      </w:r>
      <w:r>
        <w:rPr>
          <w:rFonts w:eastAsia="Times New Roman" w:cs="Arial"/>
          <w:color w:val="2D2D2D"/>
          <w:szCs w:val="22"/>
        </w:rPr>
        <w:t>au</w:t>
      </w:r>
      <w:r w:rsidRPr="00C159C9">
        <w:rPr>
          <w:rFonts w:eastAsia="Times New Roman" w:cs="Arial"/>
          <w:color w:val="2D2D2D"/>
          <w:szCs w:val="22"/>
        </w:rPr>
        <w:t xml:space="preserve"> parathion</w:t>
      </w:r>
      <w:r>
        <w:rPr>
          <w:rFonts w:eastAsia="Times New Roman" w:cs="Arial"/>
          <w:color w:val="2D2D2D"/>
          <w:szCs w:val="22"/>
        </w:rPr>
        <w:t>, on peut schématiser ainsi</w:t>
      </w:r>
      <w:r w:rsidRPr="00AF170B">
        <w:rPr>
          <w:rFonts w:eastAsia="Times New Roman" w:cs="Arial"/>
          <w:color w:val="2D2D2D"/>
          <w:szCs w:val="22"/>
        </w:rPr>
        <w:t xml:space="preserve"> l’action de l’enzyme </w:t>
      </w:r>
      <w:r>
        <w:rPr>
          <w:rFonts w:eastAsia="Times New Roman" w:cs="Arial"/>
          <w:color w:val="2D2D2D"/>
          <w:szCs w:val="22"/>
        </w:rPr>
        <w:t xml:space="preserve">évoquée dans le document 1 </w:t>
      </w:r>
      <w:r w:rsidRPr="00AF170B">
        <w:rPr>
          <w:rFonts w:eastAsia="Times New Roman" w:cs="Arial"/>
          <w:color w:val="2D2D2D"/>
          <w:szCs w:val="22"/>
        </w:rPr>
        <w:t xml:space="preserve">: </w:t>
      </w:r>
    </w:p>
    <w:p w:rsidR="00C77660" w:rsidRDefault="006C0C25" w:rsidP="009100DF">
      <w:pPr>
        <w:pBdr>
          <w:top w:val="single" w:sz="4" w:space="6" w:color="auto"/>
          <w:left w:val="single" w:sz="4" w:space="4" w:color="auto"/>
          <w:bottom w:val="single" w:sz="4" w:space="6" w:color="auto"/>
          <w:right w:val="single" w:sz="4" w:space="4" w:color="auto"/>
        </w:pBdr>
        <w:shd w:val="clear" w:color="auto" w:fill="FFFFFF"/>
        <w:spacing w:after="240" w:line="240" w:lineRule="auto"/>
        <w:jc w:val="center"/>
        <w:rPr>
          <w:rFonts w:eastAsia="Times New Roman" w:cs="Arial"/>
          <w:color w:val="2D2D2D"/>
        </w:rPr>
      </w:pPr>
      <w:r>
        <w:rPr>
          <w:noProof/>
        </w:rPr>
        <w:drawing>
          <wp:inline distT="0" distB="0" distL="0" distR="0" wp14:anchorId="53801102" wp14:editId="1E3DA0B7">
            <wp:extent cx="5299788" cy="469922"/>
            <wp:effectExtent l="0" t="0" r="0" b="0"/>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5452" cy="475744"/>
                    </a:xfrm>
                    <a:prstGeom prst="rect">
                      <a:avLst/>
                    </a:prstGeom>
                  </pic:spPr>
                </pic:pic>
              </a:graphicData>
            </a:graphic>
          </wp:inline>
        </w:drawing>
      </w:r>
    </w:p>
    <w:p w:rsidR="00771E76" w:rsidRDefault="006C0C25">
      <w:pPr>
        <w:spacing w:after="0" w:line="240" w:lineRule="auto"/>
        <w:rPr>
          <w:rFonts w:eastAsia="Times New Roman" w:cs="Arial"/>
          <w:b/>
          <w:bCs/>
          <w:color w:val="2D2D2D"/>
          <w:u w:val="single"/>
          <w:bdr w:val="none" w:sz="0" w:space="0" w:color="auto" w:frame="1"/>
        </w:rPr>
      </w:pPr>
      <w:r>
        <w:rPr>
          <w:rFonts w:eastAsia="Times New Roman" w:cs="Arial"/>
          <w:b/>
          <w:bCs/>
          <w:color w:val="2D2D2D"/>
          <w:u w:val="single"/>
          <w:bdr w:val="none" w:sz="0" w:space="0" w:color="auto" w:frame="1"/>
        </w:rPr>
        <w:br w:type="page"/>
      </w:r>
    </w:p>
    <w:p w:rsidR="00C77660" w:rsidRPr="00C77660" w:rsidRDefault="006C0C25"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u w:val="single"/>
        </w:rPr>
      </w:pPr>
      <w:r w:rsidRPr="00C77660">
        <w:rPr>
          <w:rFonts w:eastAsia="Times New Roman" w:cs="Arial"/>
          <w:b/>
          <w:bCs/>
          <w:color w:val="2D2D2D"/>
          <w:u w:val="single"/>
          <w:bdr w:val="none" w:sz="0" w:space="0" w:color="auto" w:frame="1"/>
        </w:rPr>
        <w:lastRenderedPageBreak/>
        <w:t xml:space="preserve">Document 3 : </w:t>
      </w:r>
      <w:r>
        <w:rPr>
          <w:rFonts w:eastAsia="Times New Roman" w:cs="Arial"/>
          <w:b/>
          <w:bCs/>
          <w:color w:val="2D2D2D"/>
          <w:u w:val="single"/>
          <w:bdr w:val="none" w:sz="0" w:space="0" w:color="auto" w:frame="1"/>
        </w:rPr>
        <w:t>é</w:t>
      </w:r>
      <w:r w:rsidRPr="00C77660">
        <w:rPr>
          <w:rFonts w:eastAsia="Times New Roman" w:cs="Arial"/>
          <w:b/>
          <w:bCs/>
          <w:color w:val="2D2D2D"/>
          <w:u w:val="single"/>
          <w:bdr w:val="none" w:sz="0" w:space="0" w:color="auto" w:frame="1"/>
        </w:rPr>
        <w:t>chantillonnage d’une population de moustiques dans la région de Montpellier</w:t>
      </w:r>
    </w:p>
    <w:p w:rsidR="00C77660" w:rsidRPr="0092074A" w:rsidRDefault="006C0C25"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 carte ci-</w:t>
      </w:r>
      <w:r>
        <w:rPr>
          <w:rFonts w:eastAsia="Times New Roman" w:cs="Arial"/>
          <w:color w:val="2D2D2D"/>
        </w:rPr>
        <w:t>dessous</w:t>
      </w:r>
      <w:r w:rsidRPr="0092074A">
        <w:rPr>
          <w:rFonts w:eastAsia="Times New Roman" w:cs="Arial"/>
          <w:color w:val="2D2D2D"/>
        </w:rPr>
        <w:t xml:space="preserve"> </w:t>
      </w:r>
      <w:r>
        <w:rPr>
          <w:rFonts w:eastAsia="Times New Roman" w:cs="Arial"/>
          <w:color w:val="2D2D2D"/>
        </w:rPr>
        <w:t xml:space="preserve">définit les </w:t>
      </w:r>
      <w:r>
        <w:rPr>
          <w:rFonts w:eastAsia="Times New Roman" w:cs="Arial"/>
          <w:color w:val="2D2D2D"/>
        </w:rPr>
        <w:t>différentes zones exposées ou non aux insecticides organophosphorés.</w:t>
      </w:r>
    </w:p>
    <w:p w:rsidR="00C77660" w:rsidRDefault="006C0C25"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1</w:t>
      </w:r>
      <w:r w:rsidRPr="0092074A">
        <w:rPr>
          <w:rFonts w:eastAsia="Times New Roman" w:cs="Arial"/>
          <w:color w:val="2D2D2D"/>
        </w:rPr>
        <w:t>, située au nord, n’a jamais été traitée avec des insecticides organophosphorés.</w:t>
      </w:r>
    </w:p>
    <w:p w:rsidR="00F13A3B" w:rsidRDefault="006C0C25" w:rsidP="0057104C">
      <w:pPr>
        <w:pBdr>
          <w:top w:val="single" w:sz="4" w:space="6" w:color="auto"/>
          <w:left w:val="single" w:sz="4" w:space="4" w:color="auto"/>
          <w:bottom w:val="single" w:sz="4" w:space="6" w:color="auto"/>
          <w:right w:val="single" w:sz="4" w:space="4" w:color="auto"/>
        </w:pBdr>
        <w:shd w:val="clear" w:color="auto" w:fill="FFFFFF"/>
        <w:spacing w:after="120" w:line="240" w:lineRule="auto"/>
        <w:jc w:val="both"/>
        <w:rPr>
          <w:rFonts w:eastAsia="Times New Roman" w:cs="Arial"/>
          <w:color w:val="2D2D2D"/>
        </w:rPr>
      </w:pPr>
      <w:r w:rsidRPr="0092074A">
        <w:rPr>
          <w:rFonts w:eastAsia="Times New Roman" w:cs="Arial"/>
          <w:color w:val="2D2D2D"/>
        </w:rPr>
        <w:t>La</w:t>
      </w:r>
      <w:r>
        <w:rPr>
          <w:rFonts w:eastAsia="Times New Roman" w:cs="Arial"/>
          <w:color w:val="2D2D2D"/>
        </w:rPr>
        <w:t xml:space="preserve"> </w:t>
      </w:r>
      <w:r w:rsidRPr="00AF170B">
        <w:rPr>
          <w:rFonts w:eastAsia="Times New Roman" w:cs="Arial"/>
          <w:bCs/>
          <w:color w:val="2D2D2D"/>
          <w:bdr w:val="none" w:sz="0" w:space="0" w:color="auto" w:frame="1"/>
        </w:rPr>
        <w:t>zone 2</w:t>
      </w:r>
      <w:r w:rsidRPr="0092074A">
        <w:rPr>
          <w:rFonts w:eastAsia="Times New Roman" w:cs="Arial"/>
          <w:color w:val="2D2D2D"/>
        </w:rPr>
        <w:t>, située au sud, a été traitée avec des insecticides organophosphorés depuis 1968. À cet</w:t>
      </w:r>
      <w:r w:rsidRPr="0092074A">
        <w:rPr>
          <w:rFonts w:eastAsia="Times New Roman" w:cs="Arial"/>
          <w:color w:val="2D2D2D"/>
        </w:rPr>
        <w:t>te époque, ces insecticides étaient très efficaces dans cette zone et tuaient la majorité des moustiques.</w:t>
      </w:r>
    </w:p>
    <w:p w:rsidR="00F13A3B" w:rsidRDefault="006C0C25" w:rsidP="0057104C">
      <w:pPr>
        <w:pBdr>
          <w:top w:val="single" w:sz="4" w:space="6" w:color="auto"/>
          <w:left w:val="single" w:sz="4" w:space="4" w:color="auto"/>
          <w:bottom w:val="single" w:sz="4" w:space="6" w:color="auto"/>
          <w:right w:val="single" w:sz="4" w:space="4" w:color="auto"/>
        </w:pBdr>
        <w:shd w:val="clear" w:color="auto" w:fill="FFFFFF"/>
        <w:spacing w:after="0" w:line="240" w:lineRule="auto"/>
        <w:jc w:val="center"/>
        <w:rPr>
          <w:rFonts w:eastAsia="Times New Roman" w:cs="Arial"/>
          <w:i/>
          <w:iCs/>
          <w:color w:val="2D2D2D"/>
          <w:sz w:val="20"/>
          <w:szCs w:val="20"/>
          <w:bdr w:val="none" w:sz="0" w:space="0" w:color="auto" w:frame="1"/>
        </w:rPr>
      </w:pPr>
      <w:r w:rsidRPr="0092074A">
        <w:rPr>
          <w:rFonts w:eastAsia="Times New Roman" w:cs="Arial"/>
          <w:noProof/>
          <w:color w:val="2D2D2D"/>
        </w:rPr>
        <w:drawing>
          <wp:inline distT="0" distB="0" distL="0" distR="0" wp14:anchorId="2F512035" wp14:editId="3C86AB93">
            <wp:extent cx="3971290" cy="5063486"/>
            <wp:effectExtent l="0" t="0" r="0" b="444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b="2956"/>
                    <a:stretch/>
                  </pic:blipFill>
                  <pic:spPr bwMode="auto">
                    <a:xfrm>
                      <a:off x="0" y="0"/>
                      <a:ext cx="3995203" cy="5093976"/>
                    </a:xfrm>
                    <a:prstGeom prst="rect">
                      <a:avLst/>
                    </a:prstGeom>
                    <a:noFill/>
                    <a:ln>
                      <a:noFill/>
                    </a:ln>
                    <a:extLst>
                      <a:ext uri="{53640926-AAD7-44D8-BBD7-CCE9431645EC}">
                        <a14:shadowObscured xmlns:a14="http://schemas.microsoft.com/office/drawing/2010/main"/>
                      </a:ext>
                    </a:extLst>
                  </pic:spPr>
                </pic:pic>
              </a:graphicData>
            </a:graphic>
          </wp:inline>
        </w:drawing>
      </w:r>
    </w:p>
    <w:p w:rsidR="00C77660" w:rsidRPr="00D17D11" w:rsidRDefault="006C0C25" w:rsidP="00D15829">
      <w:pPr>
        <w:pBdr>
          <w:top w:val="single" w:sz="4" w:space="6" w:color="auto"/>
          <w:left w:val="single" w:sz="4" w:space="4" w:color="auto"/>
          <w:bottom w:val="single" w:sz="4" w:space="6" w:color="auto"/>
          <w:right w:val="single" w:sz="4" w:space="4" w:color="auto"/>
        </w:pBdr>
        <w:shd w:val="clear" w:color="auto" w:fill="FFFFFF"/>
        <w:spacing w:before="120" w:after="0" w:line="240" w:lineRule="auto"/>
        <w:jc w:val="right"/>
        <w:rPr>
          <w:rFonts w:eastAsia="Times New Roman" w:cs="Arial"/>
          <w:color w:val="2D2D2D"/>
          <w:sz w:val="20"/>
          <w:szCs w:val="20"/>
        </w:rPr>
      </w:pPr>
      <w:r w:rsidRPr="00D17D11">
        <w:rPr>
          <w:rFonts w:eastAsia="Times New Roman" w:cs="Arial"/>
          <w:i/>
          <w:iCs/>
          <w:color w:val="2D2D2D"/>
          <w:sz w:val="20"/>
          <w:szCs w:val="20"/>
          <w:bdr w:val="none" w:sz="0" w:space="0" w:color="auto" w:frame="1"/>
        </w:rPr>
        <w:t>D’après www.acces.ens-lyon.fr</w:t>
      </w:r>
    </w:p>
    <w:p w:rsidR="00771E76" w:rsidRDefault="006C0C25" w:rsidP="00F13A3B">
      <w:pPr>
        <w:shd w:val="clear" w:color="auto" w:fill="FFFFFF"/>
        <w:spacing w:after="240" w:line="240" w:lineRule="auto"/>
        <w:rPr>
          <w:rFonts w:cs="Arial"/>
        </w:rPr>
      </w:pPr>
      <w:r w:rsidRPr="00D17D11">
        <w:rPr>
          <w:rFonts w:eastAsia="Times New Roman" w:cs="Arial"/>
          <w:color w:val="2D2D2D"/>
          <w:sz w:val="20"/>
          <w:szCs w:val="20"/>
        </w:rPr>
        <w:t> </w:t>
      </w:r>
      <w:r>
        <w:rPr>
          <w:rFonts w:cs="Arial"/>
        </w:rPr>
        <w:br w:type="page"/>
      </w:r>
    </w:p>
    <w:p w:rsidR="001701A9" w:rsidRDefault="006C0C25" w:rsidP="00D311E7">
      <w:pPr>
        <w:jc w:val="both"/>
        <w:rPr>
          <w:rFonts w:cs="Arial"/>
        </w:rPr>
      </w:pPr>
    </w:p>
    <w:p w:rsidR="00C77660" w:rsidRDefault="006C0C25" w:rsidP="00D311E7">
      <w:pPr>
        <w:jc w:val="both"/>
        <w:rPr>
          <w:rFonts w:cs="Arial"/>
        </w:rPr>
      </w:pPr>
      <w:r w:rsidRPr="00AF170B">
        <w:rPr>
          <w:rFonts w:cs="Arial"/>
        </w:rPr>
        <w:t>En 1980,</w:t>
      </w:r>
      <w:r w:rsidRPr="00E226C1">
        <w:rPr>
          <w:rFonts w:cs="Arial"/>
        </w:rPr>
        <w:t xml:space="preserve"> </w:t>
      </w:r>
      <w:r>
        <w:rPr>
          <w:rFonts w:cs="Arial"/>
        </w:rPr>
        <w:t>un échantillonnage a été réalisé dans une population de moustiques située à Maurin</w:t>
      </w:r>
      <w:r>
        <w:rPr>
          <w:rFonts w:cs="Arial"/>
        </w:rPr>
        <w:t xml:space="preserve"> (zone 2) afin d’étudier la structure génétique de cette population.</w:t>
      </w:r>
    </w:p>
    <w:p w:rsidR="00C77660" w:rsidRDefault="006C0C25" w:rsidP="00D311E7">
      <w:pPr>
        <w:jc w:val="both"/>
        <w:rPr>
          <w:rFonts w:cs="Arial"/>
        </w:rPr>
      </w:pPr>
      <w:r>
        <w:rPr>
          <w:rFonts w:cs="Arial"/>
        </w:rPr>
        <w:t>Les résultats de cette étude sont résumés dans le tableau ci-dessous.</w:t>
      </w:r>
      <w:r w:rsidRPr="00E226C1">
        <w:rPr>
          <w:rFonts w:cs="Arial"/>
        </w:rPr>
        <w:t xml:space="preserve"> </w:t>
      </w:r>
    </w:p>
    <w:tbl>
      <w:tblPr>
        <w:tblStyle w:val="Grilledutableau"/>
        <w:tblW w:w="0" w:type="auto"/>
        <w:tblInd w:w="137" w:type="dxa"/>
        <w:tblLook w:val="04A0" w:firstRow="1" w:lastRow="0" w:firstColumn="1" w:lastColumn="0" w:noHBand="0" w:noVBand="1"/>
      </w:tblPr>
      <w:tblGrid>
        <w:gridCol w:w="2788"/>
        <w:gridCol w:w="1536"/>
        <w:gridCol w:w="1535"/>
        <w:gridCol w:w="1535"/>
        <w:gridCol w:w="1529"/>
      </w:tblGrid>
      <w:tr w:rsidR="006739B0" w:rsidTr="006739B0">
        <w:trPr>
          <w:trHeight w:val="340"/>
        </w:trPr>
        <w:tc>
          <w:tcPr>
            <w:tcW w:w="2851" w:type="dxa"/>
            <w:shd w:val="clear" w:color="auto" w:fill="EEECE1" w:themeFill="background2"/>
            <w:vAlign w:val="center"/>
          </w:tcPr>
          <w:p w:rsidR="006739B0" w:rsidRDefault="006C0C25" w:rsidP="00842A4D">
            <w:pPr>
              <w:spacing w:before="40" w:after="40"/>
              <w:ind w:left="23"/>
              <w:jc w:val="center"/>
              <w:rPr>
                <w:rFonts w:cs="Arial"/>
              </w:rPr>
            </w:pPr>
            <w:r>
              <w:rPr>
                <w:rFonts w:cs="Arial"/>
              </w:rPr>
              <w:t>Génotypes concernant le gène de résistance à l’insecticide (doc. 1)</w:t>
            </w:r>
          </w:p>
        </w:tc>
        <w:tc>
          <w:tcPr>
            <w:tcW w:w="1577" w:type="dxa"/>
            <w:vAlign w:val="center"/>
          </w:tcPr>
          <w:p w:rsidR="006739B0" w:rsidRDefault="006C0C25" w:rsidP="00842A4D">
            <w:pPr>
              <w:spacing w:before="40" w:after="40"/>
              <w:jc w:val="center"/>
              <w:rPr>
                <w:rFonts w:cs="Arial"/>
              </w:rPr>
            </w:pPr>
            <w:r>
              <w:rPr>
                <w:rFonts w:cs="Arial"/>
              </w:rPr>
              <w:t>R//R</w:t>
            </w:r>
          </w:p>
        </w:tc>
        <w:tc>
          <w:tcPr>
            <w:tcW w:w="1577" w:type="dxa"/>
            <w:vAlign w:val="center"/>
          </w:tcPr>
          <w:p w:rsidR="006739B0" w:rsidRDefault="006C0C25" w:rsidP="00842A4D">
            <w:pPr>
              <w:spacing w:before="40" w:after="40"/>
              <w:jc w:val="center"/>
              <w:rPr>
                <w:rFonts w:cs="Arial"/>
              </w:rPr>
            </w:pPr>
            <w:r>
              <w:rPr>
                <w:rFonts w:cs="Arial"/>
              </w:rPr>
              <w:t>R//S</w:t>
            </w:r>
          </w:p>
        </w:tc>
        <w:tc>
          <w:tcPr>
            <w:tcW w:w="1577" w:type="dxa"/>
            <w:vAlign w:val="center"/>
          </w:tcPr>
          <w:p w:rsidR="006739B0" w:rsidRDefault="006C0C25" w:rsidP="00842A4D">
            <w:pPr>
              <w:spacing w:before="40" w:after="40"/>
              <w:jc w:val="center"/>
              <w:rPr>
                <w:rFonts w:cs="Arial"/>
              </w:rPr>
            </w:pPr>
            <w:r>
              <w:rPr>
                <w:rFonts w:cs="Arial"/>
              </w:rPr>
              <w:t>S//S</w:t>
            </w:r>
          </w:p>
        </w:tc>
        <w:tc>
          <w:tcPr>
            <w:tcW w:w="1567" w:type="dxa"/>
            <w:vAlign w:val="center"/>
          </w:tcPr>
          <w:p w:rsidR="006739B0" w:rsidRDefault="006C0C25" w:rsidP="00842A4D">
            <w:pPr>
              <w:spacing w:before="40" w:after="40"/>
              <w:jc w:val="center"/>
              <w:rPr>
                <w:rFonts w:cs="Arial"/>
              </w:rPr>
            </w:pPr>
            <w:r>
              <w:rPr>
                <w:rFonts w:cs="Arial"/>
              </w:rPr>
              <w:t>Total</w:t>
            </w:r>
          </w:p>
        </w:tc>
      </w:tr>
      <w:tr w:rsidR="005F56BE" w:rsidTr="006739B0">
        <w:trPr>
          <w:trHeight w:val="340"/>
        </w:trPr>
        <w:tc>
          <w:tcPr>
            <w:tcW w:w="2851" w:type="dxa"/>
            <w:shd w:val="clear" w:color="auto" w:fill="EEECE1" w:themeFill="background2"/>
            <w:vAlign w:val="center"/>
          </w:tcPr>
          <w:p w:rsidR="005F56BE" w:rsidRDefault="006C0C25" w:rsidP="00842A4D">
            <w:pPr>
              <w:spacing w:before="40" w:after="40"/>
              <w:ind w:left="23"/>
              <w:jc w:val="center"/>
              <w:rPr>
                <w:rFonts w:cs="Arial"/>
              </w:rPr>
            </w:pPr>
            <w:r>
              <w:rPr>
                <w:rFonts w:cs="Arial"/>
              </w:rPr>
              <w:t>Résistance à l’insecticide</w:t>
            </w:r>
          </w:p>
        </w:tc>
        <w:tc>
          <w:tcPr>
            <w:tcW w:w="1577" w:type="dxa"/>
            <w:vAlign w:val="center"/>
          </w:tcPr>
          <w:p w:rsidR="005F56BE" w:rsidRDefault="006C0C25" w:rsidP="00842A4D">
            <w:pPr>
              <w:spacing w:before="40" w:after="40"/>
              <w:jc w:val="center"/>
              <w:rPr>
                <w:rFonts w:cs="Arial"/>
              </w:rPr>
            </w:pPr>
            <w:r>
              <w:rPr>
                <w:rFonts w:cs="Arial"/>
              </w:rPr>
              <w:t>oui</w:t>
            </w:r>
          </w:p>
        </w:tc>
        <w:tc>
          <w:tcPr>
            <w:tcW w:w="1577" w:type="dxa"/>
            <w:vAlign w:val="center"/>
          </w:tcPr>
          <w:p w:rsidR="005F56BE" w:rsidRDefault="006C0C25" w:rsidP="00842A4D">
            <w:pPr>
              <w:spacing w:before="40" w:after="40"/>
              <w:jc w:val="center"/>
              <w:rPr>
                <w:rFonts w:cs="Arial"/>
              </w:rPr>
            </w:pPr>
            <w:r>
              <w:rPr>
                <w:rFonts w:cs="Arial"/>
              </w:rPr>
              <w:t>oui</w:t>
            </w:r>
          </w:p>
        </w:tc>
        <w:tc>
          <w:tcPr>
            <w:tcW w:w="1577" w:type="dxa"/>
            <w:vAlign w:val="center"/>
          </w:tcPr>
          <w:p w:rsidR="005F56BE" w:rsidRDefault="006C0C25" w:rsidP="00842A4D">
            <w:pPr>
              <w:spacing w:before="40" w:after="40"/>
              <w:jc w:val="center"/>
              <w:rPr>
                <w:rFonts w:cs="Arial"/>
              </w:rPr>
            </w:pPr>
            <w:r>
              <w:rPr>
                <w:rFonts w:cs="Arial"/>
              </w:rPr>
              <w:t>non</w:t>
            </w:r>
          </w:p>
        </w:tc>
        <w:tc>
          <w:tcPr>
            <w:tcW w:w="1567" w:type="dxa"/>
            <w:vAlign w:val="center"/>
          </w:tcPr>
          <w:p w:rsidR="005F56BE" w:rsidRDefault="006C0C25" w:rsidP="00842A4D">
            <w:pPr>
              <w:spacing w:before="40" w:after="40"/>
              <w:jc w:val="center"/>
              <w:rPr>
                <w:rFonts w:cs="Arial"/>
              </w:rPr>
            </w:pPr>
          </w:p>
        </w:tc>
      </w:tr>
      <w:tr w:rsidR="006739B0" w:rsidTr="006739B0">
        <w:trPr>
          <w:trHeight w:val="340"/>
        </w:trPr>
        <w:tc>
          <w:tcPr>
            <w:tcW w:w="2851" w:type="dxa"/>
            <w:shd w:val="clear" w:color="auto" w:fill="EEECE1" w:themeFill="background2"/>
            <w:vAlign w:val="center"/>
          </w:tcPr>
          <w:p w:rsidR="006739B0" w:rsidRPr="00C77660" w:rsidRDefault="006C0C25" w:rsidP="00842A4D">
            <w:pPr>
              <w:pStyle w:val="Sansinterligne"/>
              <w:spacing w:before="40" w:after="40"/>
              <w:jc w:val="center"/>
              <w:rPr>
                <w:rFonts w:ascii="Arial" w:hAnsi="Arial" w:cs="Arial"/>
                <w:sz w:val="24"/>
                <w:szCs w:val="24"/>
              </w:rPr>
            </w:pPr>
            <w:r w:rsidRPr="00C77660">
              <w:rPr>
                <w:rFonts w:ascii="Arial" w:hAnsi="Arial" w:cs="Arial"/>
                <w:sz w:val="24"/>
                <w:szCs w:val="24"/>
              </w:rPr>
              <w:t>Nombre</w:t>
            </w:r>
          </w:p>
          <w:p w:rsidR="006739B0" w:rsidRDefault="006C0C25" w:rsidP="00842A4D">
            <w:pPr>
              <w:pStyle w:val="Sansinterligne"/>
              <w:spacing w:before="40" w:after="40"/>
              <w:jc w:val="center"/>
              <w:rPr>
                <w:rFonts w:ascii="Arial" w:hAnsi="Arial"/>
                <w:sz w:val="24"/>
                <w:szCs w:val="24"/>
              </w:rPr>
            </w:pPr>
            <w:r w:rsidRPr="00C77660">
              <w:rPr>
                <w:rFonts w:ascii="Arial" w:hAnsi="Arial" w:cs="Arial"/>
                <w:sz w:val="24"/>
                <w:szCs w:val="24"/>
              </w:rPr>
              <w:t>de moustiques</w:t>
            </w:r>
          </w:p>
        </w:tc>
        <w:tc>
          <w:tcPr>
            <w:tcW w:w="1577" w:type="dxa"/>
            <w:vAlign w:val="center"/>
          </w:tcPr>
          <w:p w:rsidR="006739B0" w:rsidRDefault="006C0C25" w:rsidP="00842A4D">
            <w:pPr>
              <w:spacing w:before="40" w:after="40"/>
              <w:jc w:val="center"/>
              <w:rPr>
                <w:rFonts w:cs="Arial"/>
              </w:rPr>
            </w:pPr>
            <w:r>
              <w:rPr>
                <w:rFonts w:cs="Arial"/>
              </w:rPr>
              <w:t>90</w:t>
            </w:r>
          </w:p>
        </w:tc>
        <w:tc>
          <w:tcPr>
            <w:tcW w:w="1577" w:type="dxa"/>
            <w:vAlign w:val="center"/>
          </w:tcPr>
          <w:p w:rsidR="006739B0" w:rsidRDefault="006C0C25" w:rsidP="00842A4D">
            <w:pPr>
              <w:spacing w:before="40" w:after="40"/>
              <w:jc w:val="center"/>
              <w:rPr>
                <w:rFonts w:cs="Arial"/>
              </w:rPr>
            </w:pPr>
            <w:r>
              <w:rPr>
                <w:rFonts w:cs="Arial"/>
              </w:rPr>
              <w:t>284</w:t>
            </w:r>
          </w:p>
        </w:tc>
        <w:tc>
          <w:tcPr>
            <w:tcW w:w="1577" w:type="dxa"/>
            <w:vAlign w:val="center"/>
          </w:tcPr>
          <w:p w:rsidR="006739B0" w:rsidRDefault="006C0C25" w:rsidP="00842A4D">
            <w:pPr>
              <w:spacing w:before="40" w:after="40"/>
              <w:jc w:val="center"/>
              <w:rPr>
                <w:rFonts w:cs="Arial"/>
              </w:rPr>
            </w:pPr>
            <w:r>
              <w:rPr>
                <w:rFonts w:cs="Arial"/>
              </w:rPr>
              <w:t>70</w:t>
            </w:r>
          </w:p>
        </w:tc>
        <w:tc>
          <w:tcPr>
            <w:tcW w:w="1567" w:type="dxa"/>
            <w:vAlign w:val="center"/>
          </w:tcPr>
          <w:p w:rsidR="006739B0" w:rsidRDefault="006C0C25" w:rsidP="00842A4D">
            <w:pPr>
              <w:spacing w:before="40" w:after="40"/>
              <w:jc w:val="center"/>
              <w:rPr>
                <w:rFonts w:cs="Arial"/>
              </w:rPr>
            </w:pPr>
            <w:r>
              <w:rPr>
                <w:rFonts w:cs="Arial"/>
              </w:rPr>
              <w:t>444</w:t>
            </w:r>
          </w:p>
        </w:tc>
      </w:tr>
      <w:tr w:rsidR="006739B0" w:rsidTr="006739B0">
        <w:trPr>
          <w:trHeight w:val="340"/>
        </w:trPr>
        <w:tc>
          <w:tcPr>
            <w:tcW w:w="2851" w:type="dxa"/>
            <w:shd w:val="clear" w:color="auto" w:fill="EEECE1" w:themeFill="background2"/>
            <w:vAlign w:val="center"/>
          </w:tcPr>
          <w:p w:rsidR="006739B0" w:rsidRDefault="006C0C25" w:rsidP="00842A4D">
            <w:pPr>
              <w:pStyle w:val="Sansinterligne"/>
              <w:spacing w:before="40" w:after="40"/>
              <w:jc w:val="center"/>
              <w:rPr>
                <w:rFonts w:ascii="Arial" w:hAnsi="Arial" w:cs="Arial"/>
                <w:sz w:val="24"/>
                <w:szCs w:val="24"/>
              </w:rPr>
            </w:pPr>
            <w:r>
              <w:rPr>
                <w:rFonts w:ascii="Arial" w:hAnsi="Arial" w:cs="Arial"/>
                <w:sz w:val="24"/>
                <w:szCs w:val="24"/>
              </w:rPr>
              <w:t>Fréquence génotypique</w:t>
            </w:r>
          </w:p>
          <w:p w:rsidR="006739B0" w:rsidRPr="00C77660" w:rsidRDefault="006C0C25" w:rsidP="00842A4D">
            <w:pPr>
              <w:pStyle w:val="Sansinterligne"/>
              <w:spacing w:before="40" w:after="40"/>
              <w:jc w:val="center"/>
              <w:rPr>
                <w:rFonts w:ascii="Arial" w:hAnsi="Arial" w:cs="Arial"/>
                <w:sz w:val="24"/>
                <w:szCs w:val="24"/>
              </w:rPr>
            </w:pPr>
            <w:r>
              <w:rPr>
                <w:rFonts w:ascii="Arial" w:hAnsi="Arial" w:cs="Arial"/>
                <w:sz w:val="24"/>
                <w:szCs w:val="24"/>
              </w:rPr>
              <w:t>observée</w:t>
            </w:r>
          </w:p>
        </w:tc>
        <w:tc>
          <w:tcPr>
            <w:tcW w:w="1577" w:type="dxa"/>
            <w:vAlign w:val="center"/>
          </w:tcPr>
          <w:p w:rsidR="006739B0" w:rsidRDefault="006C0C25" w:rsidP="00842A4D">
            <w:pPr>
              <w:spacing w:before="40" w:after="40"/>
              <w:jc w:val="center"/>
              <w:rPr>
                <w:rFonts w:cs="Arial"/>
              </w:rPr>
            </w:pPr>
            <w:r>
              <w:rPr>
                <w:rFonts w:cs="Arial"/>
              </w:rPr>
              <w:t>0,20</w:t>
            </w:r>
          </w:p>
        </w:tc>
        <w:tc>
          <w:tcPr>
            <w:tcW w:w="1577" w:type="dxa"/>
            <w:vAlign w:val="center"/>
          </w:tcPr>
          <w:p w:rsidR="006739B0" w:rsidRDefault="006C0C25" w:rsidP="00842A4D">
            <w:pPr>
              <w:spacing w:before="40" w:after="40"/>
              <w:jc w:val="center"/>
              <w:rPr>
                <w:rFonts w:cs="Arial"/>
              </w:rPr>
            </w:pPr>
            <w:r>
              <w:rPr>
                <w:rFonts w:cs="Arial"/>
              </w:rPr>
              <w:t>0,64</w:t>
            </w:r>
          </w:p>
        </w:tc>
        <w:tc>
          <w:tcPr>
            <w:tcW w:w="1577" w:type="dxa"/>
            <w:vAlign w:val="center"/>
          </w:tcPr>
          <w:p w:rsidR="006739B0" w:rsidRDefault="006C0C25" w:rsidP="00842A4D">
            <w:pPr>
              <w:spacing w:before="40" w:after="40"/>
              <w:jc w:val="center"/>
              <w:rPr>
                <w:rFonts w:cs="Arial"/>
              </w:rPr>
            </w:pPr>
            <w:r>
              <w:rPr>
                <w:rFonts w:cs="Arial"/>
              </w:rPr>
              <w:t>0,16</w:t>
            </w:r>
          </w:p>
        </w:tc>
        <w:tc>
          <w:tcPr>
            <w:tcW w:w="1567" w:type="dxa"/>
            <w:vAlign w:val="center"/>
          </w:tcPr>
          <w:p w:rsidR="006739B0" w:rsidRDefault="006C0C25" w:rsidP="00842A4D">
            <w:pPr>
              <w:spacing w:before="40" w:after="40"/>
              <w:jc w:val="center"/>
              <w:rPr>
                <w:rFonts w:cs="Arial"/>
              </w:rPr>
            </w:pPr>
            <w:r>
              <w:rPr>
                <w:rFonts w:cs="Arial"/>
              </w:rPr>
              <w:t>1</w:t>
            </w:r>
          </w:p>
        </w:tc>
      </w:tr>
    </w:tbl>
    <w:p w:rsidR="00C77660" w:rsidRPr="00771E76" w:rsidRDefault="006C0C25" w:rsidP="00842A4D">
      <w:pPr>
        <w:spacing w:before="360" w:after="240"/>
        <w:jc w:val="both"/>
        <w:rPr>
          <w:rFonts w:cs="Arial"/>
        </w:rPr>
      </w:pPr>
      <w:r w:rsidRPr="00771E76">
        <w:rPr>
          <w:rFonts w:cs="Arial"/>
          <w:b/>
          <w:bCs/>
        </w:rPr>
        <w:t>1-</w:t>
      </w:r>
      <w:r>
        <w:rPr>
          <w:rFonts w:cs="Arial"/>
        </w:rPr>
        <w:t xml:space="preserve"> À</w:t>
      </w:r>
      <w:r w:rsidRPr="00771E76">
        <w:rPr>
          <w:rFonts w:cs="Arial"/>
        </w:rPr>
        <w:t xml:space="preserve"> partir des documents 1 et 2 et de </w:t>
      </w:r>
      <w:r>
        <w:rPr>
          <w:rFonts w:cs="Arial"/>
        </w:rPr>
        <w:t xml:space="preserve">vos </w:t>
      </w:r>
      <w:r w:rsidRPr="00771E76">
        <w:rPr>
          <w:rFonts w:cs="Arial"/>
        </w:rPr>
        <w:t>connaissances</w:t>
      </w:r>
      <w:r>
        <w:rPr>
          <w:rFonts w:cs="Arial"/>
        </w:rPr>
        <w:t>,</w:t>
      </w:r>
      <w:r w:rsidRPr="00771E76">
        <w:rPr>
          <w:rFonts w:cs="Arial"/>
        </w:rPr>
        <w:t xml:space="preserve"> expliquer l</w:t>
      </w:r>
      <w:r>
        <w:rPr>
          <w:rFonts w:cs="Arial"/>
        </w:rPr>
        <w:t>’acquisition de la</w:t>
      </w:r>
      <w:r w:rsidRPr="00771E76">
        <w:rPr>
          <w:rFonts w:cs="Arial"/>
        </w:rPr>
        <w:t xml:space="preserve"> résistance au parathion</w:t>
      </w:r>
      <w:r w:rsidRPr="00E91A4F">
        <w:rPr>
          <w:rFonts w:cs="Arial"/>
        </w:rPr>
        <w:t xml:space="preserve"> </w:t>
      </w:r>
      <w:r w:rsidRPr="00771E76">
        <w:rPr>
          <w:rFonts w:cs="Arial"/>
        </w:rPr>
        <w:t>de certains moustiques.</w:t>
      </w:r>
    </w:p>
    <w:p w:rsidR="006739B0" w:rsidRDefault="006C0C25" w:rsidP="00842A4D">
      <w:pPr>
        <w:spacing w:after="240"/>
        <w:jc w:val="both"/>
        <w:rPr>
          <w:rFonts w:cs="Arial"/>
        </w:rPr>
      </w:pPr>
      <w:r w:rsidRPr="00771E76">
        <w:rPr>
          <w:rFonts w:cs="Arial"/>
          <w:b/>
          <w:bCs/>
        </w:rPr>
        <w:t>2-</w:t>
      </w:r>
      <w:r>
        <w:rPr>
          <w:rFonts w:cs="Arial"/>
        </w:rPr>
        <w:t xml:space="preserve"> À </w:t>
      </w:r>
      <w:r w:rsidRPr="00771E76">
        <w:rPr>
          <w:rFonts w:cs="Arial"/>
        </w:rPr>
        <w:t xml:space="preserve">partir du </w:t>
      </w:r>
      <w:r w:rsidRPr="00771E76">
        <w:rPr>
          <w:rFonts w:cs="Arial"/>
        </w:rPr>
        <w:t>document 3, vérifier que la structure génétique de la population n’est pas</w:t>
      </w:r>
      <w:r>
        <w:rPr>
          <w:rFonts w:cs="Arial"/>
        </w:rPr>
        <w:t xml:space="preserve"> </w:t>
      </w:r>
      <w:r w:rsidRPr="006D5ECB">
        <w:rPr>
          <w:rFonts w:cs="Arial"/>
        </w:rPr>
        <w:t xml:space="preserve">à l’équilibre de Hardy-Weinberg. Pour ce faire, on </w:t>
      </w:r>
      <w:r>
        <w:rPr>
          <w:rFonts w:cs="Arial"/>
        </w:rPr>
        <w:t>comparera les fréquences génotypiques observées dans la population de moustique aux fréquences génotypiques que vous calculerez se</w:t>
      </w:r>
      <w:r>
        <w:rPr>
          <w:rFonts w:cs="Arial"/>
        </w:rPr>
        <w:t>lon le modèle de Hardy-Weinberg.</w:t>
      </w:r>
    </w:p>
    <w:p w:rsidR="006739B0" w:rsidRPr="00C10DAE" w:rsidRDefault="006C0C25" w:rsidP="00CB0C0A">
      <w:pPr>
        <w:pBdr>
          <w:top w:val="single" w:sz="4" w:space="6" w:color="auto"/>
          <w:left w:val="single" w:sz="4" w:space="4" w:color="auto"/>
          <w:bottom w:val="single" w:sz="4" w:space="6" w:color="auto"/>
          <w:right w:val="single" w:sz="4" w:space="4" w:color="auto"/>
        </w:pBdr>
        <w:spacing w:after="120"/>
        <w:jc w:val="both"/>
        <w:rPr>
          <w:rFonts w:cs="Arial"/>
          <w:b/>
          <w:bCs/>
        </w:rPr>
      </w:pPr>
      <w:r w:rsidRPr="00C10DAE">
        <w:rPr>
          <w:rFonts w:cs="Arial"/>
          <w:b/>
          <w:bCs/>
        </w:rPr>
        <w:t>Rappel d</w:t>
      </w:r>
      <w:r>
        <w:rPr>
          <w:rFonts w:cs="Arial"/>
          <w:b/>
          <w:bCs/>
        </w:rPr>
        <w:t>u modèle</w:t>
      </w:r>
      <w:r w:rsidRPr="00C10DAE">
        <w:rPr>
          <w:rFonts w:cs="Arial"/>
          <w:b/>
          <w:bCs/>
        </w:rPr>
        <w:t xml:space="preserve"> de Hardy-Weinberg </w:t>
      </w:r>
      <w:r>
        <w:rPr>
          <w:rFonts w:cs="Arial"/>
          <w:b/>
          <w:bCs/>
        </w:rPr>
        <w:t>:</w:t>
      </w:r>
    </w:p>
    <w:p w:rsidR="006739B0" w:rsidRDefault="006C0C25" w:rsidP="00CB0C0A">
      <w:pPr>
        <w:pBdr>
          <w:top w:val="single" w:sz="4" w:space="6" w:color="auto"/>
          <w:left w:val="single" w:sz="4" w:space="4" w:color="auto"/>
          <w:bottom w:val="single" w:sz="4" w:space="6" w:color="auto"/>
          <w:right w:val="single" w:sz="4" w:space="4" w:color="auto"/>
        </w:pBdr>
        <w:spacing w:after="120"/>
        <w:jc w:val="both"/>
        <w:rPr>
          <w:rFonts w:cs="Arial"/>
        </w:rPr>
      </w:pPr>
      <w:r>
        <w:rPr>
          <w:rFonts w:cs="Arial"/>
        </w:rPr>
        <w:t>S</w:t>
      </w:r>
      <w:r w:rsidRPr="006739B0">
        <w:rPr>
          <w:rFonts w:cs="Arial"/>
        </w:rPr>
        <w:t xml:space="preserve">oient A1 et A2 deux allèles d'un même </w:t>
      </w:r>
      <w:r>
        <w:rPr>
          <w:rFonts w:cs="Arial"/>
        </w:rPr>
        <w:t>gène, avec p la fréquence de l’allèle A1 et q la fréquence de l’allèle A2 et p + q  =1, les fréquences génotypiques sont :</w:t>
      </w:r>
    </w:p>
    <w:p w:rsidR="00CB0C0A" w:rsidRDefault="006C0C25"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p</w:t>
      </w:r>
      <w:r w:rsidRPr="006739B0">
        <w:rPr>
          <w:rFonts w:cs="Arial"/>
          <w:vertAlign w:val="superscript"/>
        </w:rPr>
        <w:t>2</w:t>
      </w:r>
      <w:r w:rsidRPr="006739B0">
        <w:rPr>
          <w:rFonts w:cs="Arial"/>
        </w:rPr>
        <w:t> = fréquence du génoty</w:t>
      </w:r>
      <w:r w:rsidRPr="006739B0">
        <w:rPr>
          <w:rFonts w:cs="Arial"/>
        </w:rPr>
        <w:t>pe A1</w:t>
      </w:r>
      <w:r>
        <w:rPr>
          <w:rFonts w:cs="Arial"/>
        </w:rPr>
        <w:t>//</w:t>
      </w:r>
      <w:r w:rsidRPr="006739B0">
        <w:rPr>
          <w:rFonts w:cs="Arial"/>
        </w:rPr>
        <w:t>A1</w:t>
      </w:r>
    </w:p>
    <w:p w:rsidR="00CB0C0A" w:rsidRDefault="006C0C25" w:rsidP="00CB0C0A">
      <w:pPr>
        <w:pBdr>
          <w:top w:val="single" w:sz="4" w:space="6" w:color="auto"/>
          <w:left w:val="single" w:sz="4" w:space="4" w:color="auto"/>
          <w:bottom w:val="single" w:sz="4" w:space="6" w:color="auto"/>
          <w:right w:val="single" w:sz="4" w:space="4" w:color="auto"/>
        </w:pBdr>
        <w:spacing w:after="120"/>
        <w:ind w:firstLine="708"/>
        <w:jc w:val="both"/>
        <w:rPr>
          <w:rFonts w:cs="Arial"/>
        </w:rPr>
      </w:pPr>
      <w:r w:rsidRPr="006739B0">
        <w:rPr>
          <w:rFonts w:cs="Arial"/>
        </w:rPr>
        <w:t>2pq = fréquence du génotype A1</w:t>
      </w:r>
      <w:r>
        <w:rPr>
          <w:rFonts w:cs="Arial"/>
        </w:rPr>
        <w:t>//</w:t>
      </w:r>
      <w:r w:rsidRPr="006739B0">
        <w:rPr>
          <w:rFonts w:cs="Arial"/>
        </w:rPr>
        <w:t xml:space="preserve">A2 </w:t>
      </w:r>
    </w:p>
    <w:p w:rsidR="00C77660" w:rsidRPr="00C10DAE" w:rsidRDefault="006C0C25" w:rsidP="00CB0C0A">
      <w:pPr>
        <w:pBdr>
          <w:top w:val="single" w:sz="4" w:space="6" w:color="auto"/>
          <w:left w:val="single" w:sz="4" w:space="4" w:color="auto"/>
          <w:bottom w:val="single" w:sz="4" w:space="6" w:color="auto"/>
          <w:right w:val="single" w:sz="4" w:space="4" w:color="auto"/>
        </w:pBdr>
        <w:ind w:firstLine="708"/>
        <w:jc w:val="both"/>
        <w:rPr>
          <w:rFonts w:cs="Arial"/>
        </w:rPr>
      </w:pPr>
      <w:r w:rsidRPr="006739B0">
        <w:rPr>
          <w:rFonts w:cs="Arial"/>
        </w:rPr>
        <w:t>q</w:t>
      </w:r>
      <w:r w:rsidRPr="006739B0">
        <w:rPr>
          <w:rFonts w:cs="Arial"/>
          <w:vertAlign w:val="superscript"/>
        </w:rPr>
        <w:t>2</w:t>
      </w:r>
      <w:r w:rsidRPr="006739B0">
        <w:rPr>
          <w:rFonts w:cs="Arial"/>
        </w:rPr>
        <w:t> = fréquence du génotype A2</w:t>
      </w:r>
      <w:r>
        <w:rPr>
          <w:rFonts w:cs="Arial"/>
        </w:rPr>
        <w:t>//</w:t>
      </w:r>
      <w:r w:rsidRPr="006739B0">
        <w:rPr>
          <w:rFonts w:cs="Arial"/>
        </w:rPr>
        <w:t>A2</w:t>
      </w:r>
    </w:p>
    <w:p w:rsidR="00C77660" w:rsidRDefault="006C0C25" w:rsidP="00842A4D">
      <w:pPr>
        <w:spacing w:before="240"/>
        <w:jc w:val="both"/>
        <w:rPr>
          <w:rFonts w:cs="Arial"/>
        </w:rPr>
      </w:pPr>
      <w:r w:rsidRPr="00771E76">
        <w:rPr>
          <w:rFonts w:cs="Arial"/>
          <w:b/>
          <w:bCs/>
        </w:rPr>
        <w:t>3-</w:t>
      </w:r>
      <w:r>
        <w:rPr>
          <w:rFonts w:cs="Arial"/>
        </w:rPr>
        <w:t xml:space="preserve"> </w:t>
      </w:r>
      <w:r w:rsidRPr="00771E76">
        <w:rPr>
          <w:rFonts w:cs="Arial"/>
        </w:rPr>
        <w:t xml:space="preserve">Expliquer </w:t>
      </w:r>
      <w:r>
        <w:rPr>
          <w:rFonts w:cs="Arial"/>
        </w:rPr>
        <w:t xml:space="preserve">les raisons pour lesquelles </w:t>
      </w:r>
      <w:r w:rsidRPr="00771E76">
        <w:rPr>
          <w:rFonts w:cs="Arial"/>
        </w:rPr>
        <w:t xml:space="preserve">la structure génétique de la population n’est pas </w:t>
      </w:r>
      <w:r>
        <w:rPr>
          <w:rFonts w:cs="Arial"/>
        </w:rPr>
        <w:t>à l’équilibre de Hardy-Weinberg.</w:t>
      </w:r>
    </w:p>
    <w:p w:rsidR="00C10DAE" w:rsidRDefault="006C0C25" w:rsidP="00C10DAE">
      <w:pPr>
        <w:rPr>
          <w:rFonts w:cs="Arial"/>
        </w:rPr>
      </w:pPr>
    </w:p>
    <w:p w:rsidR="003320A1" w:rsidRPr="00204949" w:rsidRDefault="006C0C25" w:rsidP="00C10DAE">
      <w:pPr>
        <w:jc w:val="center"/>
      </w:pPr>
      <w:r>
        <w:br w:type="page"/>
      </w:r>
    </w:p>
    <w:p w:rsidR="00BD4DB3" w:rsidRPr="00A77456" w:rsidRDefault="006C0C25" w:rsidP="00BD4DB3">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BD4DB3" w:rsidRPr="00A77456" w:rsidRDefault="006C0C25" w:rsidP="00BD4DB3">
      <w:pPr>
        <w:spacing w:after="240"/>
        <w:jc w:val="center"/>
        <w:rPr>
          <w:rFonts w:eastAsia="Arial" w:cs="Arial"/>
          <w:i/>
        </w:rPr>
      </w:pPr>
      <w:r w:rsidRPr="00A77456">
        <w:rPr>
          <w:rFonts w:eastAsia="Arial" w:cs="Arial"/>
          <w:i/>
        </w:rPr>
        <w:t>Thème « </w:t>
      </w:r>
      <w:r>
        <w:rPr>
          <w:rFonts w:eastAsia="Arial" w:cs="Arial"/>
          <w:i/>
        </w:rPr>
        <w:t xml:space="preserve">Science, </w:t>
      </w:r>
      <w:r>
        <w:rPr>
          <w:rFonts w:eastAsia="Arial" w:cs="Arial"/>
          <w:i/>
        </w:rPr>
        <w:t>climat et société »</w:t>
      </w:r>
    </w:p>
    <w:p w:rsidR="00BD4DB3" w:rsidRPr="00D87AD1" w:rsidRDefault="006C0C25" w:rsidP="00BD4DB3">
      <w:pPr>
        <w:spacing w:after="120"/>
        <w:rPr>
          <w:b/>
          <w:sz w:val="22"/>
        </w:rPr>
      </w:pPr>
      <w:r>
        <w:rPr>
          <w:b/>
          <w:sz w:val="28"/>
        </w:rPr>
        <w:t>L’histoire du dioxygène terrestre</w:t>
      </w:r>
    </w:p>
    <w:p w:rsidR="00BD4DB3" w:rsidRPr="000E2C8B" w:rsidRDefault="006C0C25" w:rsidP="00BD4DB3">
      <w:pPr>
        <w:spacing w:after="240"/>
        <w:rPr>
          <w:i/>
        </w:rPr>
      </w:pPr>
      <w:r w:rsidRPr="00D74F67">
        <w:rPr>
          <w:i/>
        </w:rPr>
        <w:t>Sur 10 points</w:t>
      </w:r>
    </w:p>
    <w:p w:rsidR="00B845D1" w:rsidRDefault="006C0C25" w:rsidP="00105617">
      <w:pPr>
        <w:spacing w:after="120"/>
        <w:jc w:val="both"/>
        <w:rPr>
          <w:rFonts w:cs="Arial"/>
        </w:rPr>
      </w:pPr>
      <w:r>
        <w:rPr>
          <w:rFonts w:cs="Arial"/>
        </w:rPr>
        <w:t>L’atmosphère primitive de la Terre, issue du dégazage au cours du refroidissement de la Terre, était très différente de l’atmosphère actuelle. La transformation de l’atmosphère au cours du</w:t>
      </w:r>
      <w:r>
        <w:rPr>
          <w:rFonts w:cs="Arial"/>
        </w:rPr>
        <w:t xml:space="preserve"> temps est marquée en particulier par un fort enrichissement en dioxygène, ce qui lui a conféré un caractère oxydant.</w:t>
      </w:r>
      <w:r>
        <w:rPr>
          <w:rFonts w:cs="Arial"/>
        </w:rPr>
        <w:t xml:space="preserve"> </w:t>
      </w:r>
      <w:r>
        <w:rPr>
          <w:rFonts w:cs="Arial"/>
        </w:rPr>
        <w:t xml:space="preserve"> </w:t>
      </w:r>
    </w:p>
    <w:p w:rsidR="00B845D1" w:rsidRDefault="006C0C25" w:rsidP="00105617">
      <w:pPr>
        <w:spacing w:after="360"/>
        <w:jc w:val="both"/>
        <w:rPr>
          <w:rFonts w:cs="Arial"/>
        </w:rPr>
      </w:pPr>
      <w:r>
        <w:rPr>
          <w:rFonts w:cs="Arial"/>
        </w:rPr>
        <w:t>L’objectif de cet exercice est de rechercher des arguments expliquant l’enrichissement de l’atmosphère en dioxygène, il y a 2,4 milliard</w:t>
      </w:r>
      <w:r>
        <w:rPr>
          <w:rFonts w:cs="Arial"/>
        </w:rPr>
        <w:t>s d’années.</w:t>
      </w:r>
    </w:p>
    <w:tbl>
      <w:tblPr>
        <w:tblStyle w:val="Grilledutableau"/>
        <w:tblW w:w="0" w:type="auto"/>
        <w:jc w:val="center"/>
        <w:tblLook w:val="04A0" w:firstRow="1" w:lastRow="0" w:firstColumn="1" w:lastColumn="0" w:noHBand="0" w:noVBand="1"/>
      </w:tblPr>
      <w:tblGrid>
        <w:gridCol w:w="8924"/>
      </w:tblGrid>
      <w:tr w:rsidR="00B845D1" w:rsidTr="006C5A85">
        <w:trPr>
          <w:jc w:val="center"/>
        </w:trPr>
        <w:tc>
          <w:tcPr>
            <w:tcW w:w="8924" w:type="dxa"/>
          </w:tcPr>
          <w:p w:rsidR="00B845D1" w:rsidRPr="007B0B1F" w:rsidRDefault="006C0C25" w:rsidP="00105617">
            <w:pPr>
              <w:spacing w:before="120" w:after="120"/>
              <w:jc w:val="both"/>
              <w:rPr>
                <w:rFonts w:cs="Arial"/>
                <w:b/>
              </w:rPr>
            </w:pPr>
            <w:r w:rsidRPr="007B0B1F">
              <w:rPr>
                <w:rFonts w:cs="Arial"/>
                <w:b/>
                <w:u w:val="single"/>
              </w:rPr>
              <w:t>Document 1</w:t>
            </w:r>
            <w:r w:rsidRPr="007B0B1F">
              <w:rPr>
                <w:rFonts w:cs="Arial"/>
                <w:b/>
              </w:rPr>
              <w:t xml:space="preserve"> : </w:t>
            </w:r>
            <w:r>
              <w:rPr>
                <w:rFonts w:cs="Arial"/>
                <w:b/>
              </w:rPr>
              <w:t>m</w:t>
            </w:r>
            <w:r w:rsidRPr="007B0B1F">
              <w:rPr>
                <w:rFonts w:cs="Arial"/>
                <w:b/>
              </w:rPr>
              <w:t>étabolisme des cyanobactéries actuelles</w:t>
            </w:r>
          </w:p>
          <w:p w:rsidR="00B845D1" w:rsidRDefault="006C0C25" w:rsidP="00105617">
            <w:pPr>
              <w:jc w:val="both"/>
              <w:rPr>
                <w:rFonts w:cs="Arial"/>
              </w:rPr>
            </w:pPr>
            <w:r>
              <w:rPr>
                <w:rFonts w:cs="Arial"/>
              </w:rPr>
              <w:t>Une culture de cyanobactéries est placée dans une enceinte hermétique. Les teneurs en dioxygène et</w:t>
            </w:r>
            <w:r>
              <w:rPr>
                <w:rFonts w:cs="Arial"/>
                <w:highlight w:val="white"/>
              </w:rPr>
              <w:t xml:space="preserve"> en</w:t>
            </w:r>
            <w:r>
              <w:rPr>
                <w:rFonts w:cs="Arial"/>
              </w:rPr>
              <w:t xml:space="preserve"> dioxyde de carbone sont relevées </w:t>
            </w:r>
            <w:r>
              <w:rPr>
                <w:rFonts w:cs="Arial"/>
                <w:highlight w:val="white"/>
                <w:shd w:val="clear" w:color="auto" w:fill="FFFFFF" w:themeFill="background1"/>
              </w:rPr>
              <w:t>sous différentes</w:t>
            </w:r>
            <w:r>
              <w:rPr>
                <w:rFonts w:cs="Arial"/>
              </w:rPr>
              <w:t xml:space="preserve"> conditions d’éclairement. Les résultat</w:t>
            </w:r>
            <w:r>
              <w:rPr>
                <w:rFonts w:cs="Arial"/>
              </w:rPr>
              <w:t xml:space="preserve">s sont présentés </w:t>
            </w:r>
            <w:r>
              <w:rPr>
                <w:rFonts w:cs="Arial"/>
                <w:highlight w:val="white"/>
              </w:rPr>
              <w:t>sur</w:t>
            </w:r>
            <w:r>
              <w:rPr>
                <w:rFonts w:cs="Arial"/>
              </w:rPr>
              <w:t xml:space="preserve"> le graphique ci-dessous.</w:t>
            </w:r>
          </w:p>
          <w:p w:rsidR="00B845D1" w:rsidRDefault="006C0C25" w:rsidP="00105617">
            <w:pPr>
              <w:jc w:val="both"/>
              <w:rPr>
                <w:rFonts w:eastAsia="Times New Roman" w:cs="Arial"/>
                <w:u w:val="single"/>
              </w:rPr>
            </w:pPr>
            <w:r>
              <w:rPr>
                <w:rFonts w:eastAsia="Times New Roman" w:cs="Arial"/>
                <w:u w:val="single"/>
              </w:rPr>
              <w:t>Évolution des teneurs en dioxygène et dioxyde de carbone de la culture de cyanobactéries</w:t>
            </w:r>
          </w:p>
          <w:p w:rsidR="00B845D1" w:rsidRDefault="006C0C25" w:rsidP="00105617">
            <w:pPr>
              <w:jc w:val="both"/>
              <w:rPr>
                <w:rFonts w:cs="Arial"/>
              </w:rPr>
            </w:pPr>
            <w:r>
              <w:rPr>
                <w:noProof/>
              </w:rPr>
              <w:drawing>
                <wp:inline distT="0" distB="0" distL="0" distR="0" wp14:anchorId="443901EB" wp14:editId="543552E6">
                  <wp:extent cx="5125720" cy="2543175"/>
                  <wp:effectExtent l="0" t="0" r="5080" b="0"/>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tretch/>
                        </pic:blipFill>
                        <pic:spPr bwMode="auto">
                          <a:xfrm>
                            <a:off x="0" y="0"/>
                            <a:ext cx="5125720" cy="2543175"/>
                          </a:xfrm>
                          <a:prstGeom prst="rect">
                            <a:avLst/>
                          </a:prstGeom>
                          <a:noFill/>
                          <a:ln>
                            <a:noFill/>
                          </a:ln>
                        </pic:spPr>
                      </pic:pic>
                    </a:graphicData>
                  </a:graphic>
                </wp:inline>
              </w:drawing>
            </w:r>
          </w:p>
        </w:tc>
      </w:tr>
    </w:tbl>
    <w:p w:rsidR="006C5A85" w:rsidRDefault="006C0C25" w:rsidP="00105617">
      <w:pPr>
        <w:spacing w:after="120"/>
        <w:rPr>
          <w:u w:val="single"/>
        </w:rPr>
      </w:pPr>
    </w:p>
    <w:p w:rsidR="006C5A85" w:rsidRDefault="006C0C25">
      <w:pPr>
        <w:spacing w:after="0" w:line="240" w:lineRule="auto"/>
        <w:rPr>
          <w:u w:val="single"/>
        </w:rPr>
      </w:pPr>
      <w:r>
        <w:rPr>
          <w:u w:val="single"/>
        </w:rPr>
        <w:br w:type="page"/>
      </w:r>
    </w:p>
    <w:p w:rsidR="00E92982" w:rsidRDefault="006C0C25" w:rsidP="00105617">
      <w:pPr>
        <w:spacing w:after="120"/>
      </w:pPr>
      <w:r>
        <w:rPr>
          <w:u w:val="single"/>
        </w:rPr>
        <w:lastRenderedPageBreak/>
        <w:t>Données</w:t>
      </w:r>
      <w:r>
        <w:t> :</w:t>
      </w:r>
    </w:p>
    <w:p w:rsidR="00E92982" w:rsidRDefault="006C0C25" w:rsidP="00105617">
      <w:pPr>
        <w:spacing w:after="120"/>
      </w:pPr>
      <w:r>
        <w:t>Il existe différents types de métabolismes, notamment :</w:t>
      </w:r>
    </w:p>
    <w:p w:rsidR="00E92982" w:rsidRDefault="006C0C25" w:rsidP="00105617">
      <w:pPr>
        <w:spacing w:after="60"/>
        <w:ind w:firstLine="285"/>
      </w:pPr>
      <w:r>
        <w:t xml:space="preserve">• La respiration : </w:t>
      </w:r>
      <m:oMath>
        <m:r>
          <m:rPr>
            <m:sty m:val="p"/>
          </m:rPr>
          <w:rPr>
            <w:rFonts w:ascii="Cambria Math" w:hAnsi="Cambria Math"/>
          </w:rPr>
          <m:t xml:space="preserve">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vertAlign w:val="subscript"/>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O</m:t>
        </m:r>
      </m:oMath>
    </w:p>
    <w:p w:rsidR="00E92982" w:rsidRDefault="006C0C25" w:rsidP="00105617">
      <w:pPr>
        <w:spacing w:after="60"/>
        <w:ind w:firstLine="285"/>
      </w:pPr>
      <w:r>
        <w:t xml:space="preserve">• La photosynthèse : </w:t>
      </w:r>
      <m:oMath>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 xml:space="preserve">O en présence de lumière → 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oMath>
    </w:p>
    <w:p w:rsidR="00E92982" w:rsidRDefault="006C0C25" w:rsidP="00105617">
      <w:pPr>
        <w:spacing w:after="120"/>
        <w:ind w:firstLine="285"/>
      </w:pPr>
      <w:r>
        <w:t xml:space="preserve">• La fermentation alcoolique : </w:t>
      </w:r>
      <m:oMath>
        <m:r>
          <m:rPr>
            <m:sty m:val="p"/>
          </m:rPr>
          <w:rPr>
            <w:rFonts w:ascii="Cambria Math" w:hAnsi="Cambria Math"/>
          </w:rPr>
          <m:t>sucre → 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éthanol</m:t>
        </m:r>
      </m:oMath>
    </w:p>
    <w:p w:rsidR="00E92982" w:rsidRPr="00E92982" w:rsidRDefault="006C0C25" w:rsidP="00105617">
      <w:pPr>
        <w:jc w:val="both"/>
        <w:rPr>
          <w:szCs w:val="21"/>
        </w:rPr>
      </w:pPr>
      <w:r w:rsidRPr="00E92982">
        <w:rPr>
          <w:szCs w:val="21"/>
        </w:rPr>
        <w:t>Les réactions ne sont pas ajustées, elles indiquent seulement la nature des réactifs et des produits.</w:t>
      </w:r>
    </w:p>
    <w:p w:rsidR="007B0B1F" w:rsidRDefault="006C0C25" w:rsidP="00105617">
      <w:pPr>
        <w:spacing w:before="360" w:after="240"/>
        <w:jc w:val="both"/>
      </w:pPr>
      <w:r>
        <w:rPr>
          <w:b/>
        </w:rPr>
        <w:t>1-</w:t>
      </w:r>
      <w:r>
        <w:t xml:space="preserve"> À l’aide du document 1, donner, </w:t>
      </w:r>
      <w:r>
        <w:t>en le justifiant, le nom du métabolisme utilisé par les cyanobactéries, dans l’expérience, entre 0 et 5 minutes puis entre 5 et 10 minutes.</w:t>
      </w:r>
    </w:p>
    <w:p w:rsidR="00B845D1" w:rsidRDefault="006C0C25" w:rsidP="00105617">
      <w:pPr>
        <w:spacing w:after="360"/>
        <w:jc w:val="both"/>
      </w:pPr>
      <w:r>
        <w:rPr>
          <w:b/>
        </w:rPr>
        <w:t>2-</w:t>
      </w:r>
      <w:r>
        <w:t xml:space="preserve"> Les stromatolithes sont des constructions carbonatées d’origine biologique formées par des micro-organismes, dont</w:t>
      </w:r>
      <w:r>
        <w:t xml:space="preserve"> les cyanobactéries. Les plus anciens ont été datés à environ 3,5 milliards d’années. À partir du document 1 et des connaissances, justifier l’origine de la production de dioxygène à partir de 3,5 milliards d’années.</w:t>
      </w:r>
    </w:p>
    <w:tbl>
      <w:tblPr>
        <w:tblStyle w:val="Grilledutableau"/>
        <w:tblW w:w="0" w:type="auto"/>
        <w:jc w:val="center"/>
        <w:tblLook w:val="04A0" w:firstRow="1" w:lastRow="0" w:firstColumn="1" w:lastColumn="0" w:noHBand="0" w:noVBand="1"/>
      </w:tblPr>
      <w:tblGrid>
        <w:gridCol w:w="9060"/>
      </w:tblGrid>
      <w:tr w:rsidR="00B845D1" w:rsidTr="00105617">
        <w:trPr>
          <w:trHeight w:val="5595"/>
          <w:jc w:val="center"/>
        </w:trPr>
        <w:tc>
          <w:tcPr>
            <w:tcW w:w="9060" w:type="dxa"/>
          </w:tcPr>
          <w:p w:rsidR="00B845D1" w:rsidRPr="00DF7FF2" w:rsidRDefault="006C0C25" w:rsidP="00105617">
            <w:pPr>
              <w:spacing w:before="120" w:after="120"/>
              <w:jc w:val="both"/>
              <w:rPr>
                <w:b/>
              </w:rPr>
            </w:pPr>
            <w:r w:rsidRPr="00DF7FF2">
              <w:rPr>
                <w:b/>
                <w:u w:val="single"/>
              </w:rPr>
              <w:t>Document 2</w:t>
            </w:r>
            <w:r w:rsidRPr="00DF7FF2">
              <w:rPr>
                <w:b/>
              </w:rPr>
              <w:t xml:space="preserve"> : les </w:t>
            </w:r>
            <w:r>
              <w:rPr>
                <w:b/>
              </w:rPr>
              <w:t>f</w:t>
            </w:r>
            <w:r w:rsidRPr="00DF7FF2">
              <w:rPr>
                <w:b/>
              </w:rPr>
              <w:t>ormations sédimentair</w:t>
            </w:r>
            <w:r w:rsidRPr="00DF7FF2">
              <w:rPr>
                <w:b/>
              </w:rPr>
              <w:t>es d’oxydes de fer</w:t>
            </w:r>
          </w:p>
          <w:p w:rsidR="00B845D1" w:rsidRDefault="006C0C25" w:rsidP="00105617">
            <w:pPr>
              <w:spacing w:after="120"/>
              <w:jc w:val="both"/>
            </w:pPr>
            <w:r>
              <w:t>La grande majorité des minerais de fer du monde est constituée de ce qu'on appelle des fers rubanés (</w:t>
            </w:r>
            <w:r>
              <w:rPr>
                <w:i/>
                <w:iCs/>
              </w:rPr>
              <w:t>Banded Iron Formation</w:t>
            </w:r>
            <w:r>
              <w:t xml:space="preserve"> ou BIF, en anglais). Ces BIF existent sous plusieurs formes, plus ou moins ferrugineuses, et contiennent un oxyde de fer composé de deux atomes de fer et de trois atomes d’oxygène.</w:t>
            </w:r>
          </w:p>
          <w:p w:rsidR="00B845D1" w:rsidRDefault="006C0C25" w:rsidP="00105617">
            <w:pPr>
              <w:pStyle w:val="NormalWeb"/>
              <w:spacing w:before="0" w:beforeAutospacing="0" w:after="120" w:afterAutospacing="0"/>
              <w:rPr>
                <w:rFonts w:ascii="Arial" w:hAnsi="Arial" w:cs="Arial"/>
              </w:rPr>
            </w:pPr>
            <w:r>
              <w:rPr>
                <w:rFonts w:ascii="Arial" w:hAnsi="Arial" w:cs="Arial"/>
              </w:rPr>
              <w:t xml:space="preserve">Le tableau </w:t>
            </w:r>
            <w:r>
              <w:rPr>
                <w:rFonts w:ascii="Arial" w:hAnsi="Arial" w:cs="Arial"/>
                <w:highlight w:val="white"/>
              </w:rPr>
              <w:t>ci-dessous</w:t>
            </w:r>
            <w:r>
              <w:rPr>
                <w:rFonts w:ascii="Arial" w:hAnsi="Arial" w:cs="Arial"/>
              </w:rPr>
              <w:t xml:space="preserve"> présente différents oxydes de fer :</w:t>
            </w:r>
          </w:p>
          <w:tbl>
            <w:tblPr>
              <w:tblStyle w:val="Grilledutableau"/>
              <w:tblW w:w="0" w:type="auto"/>
              <w:jc w:val="center"/>
              <w:tblLook w:val="04A0" w:firstRow="1" w:lastRow="0" w:firstColumn="1" w:lastColumn="0" w:noHBand="0" w:noVBand="1"/>
            </w:tblPr>
            <w:tblGrid>
              <w:gridCol w:w="1303"/>
              <w:gridCol w:w="1701"/>
              <w:gridCol w:w="1984"/>
              <w:gridCol w:w="2693"/>
            </w:tblGrid>
            <w:tr w:rsidR="00B845D1" w:rsidTr="00E92982">
              <w:trPr>
                <w:jc w:val="center"/>
              </w:trPr>
              <w:tc>
                <w:tcPr>
                  <w:tcW w:w="1303" w:type="dxa"/>
                  <w:vAlign w:val="center"/>
                </w:tcPr>
                <w:p w:rsidR="00B845D1" w:rsidRDefault="006C0C25" w:rsidP="00105617">
                  <w:pPr>
                    <w:spacing w:before="60" w:after="60"/>
                    <w:jc w:val="center"/>
                  </w:pPr>
                  <w:r>
                    <w:t>Oxyde de fer</w:t>
                  </w:r>
                </w:p>
              </w:tc>
              <w:tc>
                <w:tcPr>
                  <w:tcW w:w="1701" w:type="dxa"/>
                  <w:vAlign w:val="center"/>
                </w:tcPr>
                <w:p w:rsidR="00B845D1" w:rsidRDefault="006C0C25" w:rsidP="00105617">
                  <w:pPr>
                    <w:spacing w:before="60" w:after="60"/>
                    <w:jc w:val="center"/>
                  </w:pPr>
                  <w:r>
                    <w:t>For</w:t>
                  </w:r>
                  <w:r>
                    <w:t>mule brute</w:t>
                  </w:r>
                </w:p>
              </w:tc>
              <w:tc>
                <w:tcPr>
                  <w:tcW w:w="1984" w:type="dxa"/>
                  <w:vAlign w:val="center"/>
                </w:tcPr>
                <w:p w:rsidR="00B845D1" w:rsidRDefault="006C0C25" w:rsidP="00105617">
                  <w:pPr>
                    <w:spacing w:before="60" w:after="60"/>
                    <w:jc w:val="center"/>
                  </w:pPr>
                  <w:r>
                    <w:t>Description</w:t>
                  </w:r>
                </w:p>
              </w:tc>
              <w:tc>
                <w:tcPr>
                  <w:tcW w:w="2693" w:type="dxa"/>
                  <w:vAlign w:val="center"/>
                </w:tcPr>
                <w:p w:rsidR="00B845D1" w:rsidRDefault="006C0C25" w:rsidP="00105617">
                  <w:pPr>
                    <w:spacing w:before="60" w:after="60"/>
                    <w:jc w:val="center"/>
                  </w:pPr>
                  <w:r>
                    <w:t xml:space="preserve">Équation chimique de formation </w:t>
                  </w:r>
                  <w:r>
                    <w:rPr>
                      <w:highlight w:val="white"/>
                    </w:rPr>
                    <w:t>de l’oxyde de fer</w:t>
                  </w:r>
                  <w:r>
                    <w:t>, non ajustée</w:t>
                  </w:r>
                </w:p>
              </w:tc>
            </w:tr>
            <w:tr w:rsidR="00B845D1" w:rsidTr="0056151C">
              <w:trPr>
                <w:trHeight w:val="678"/>
                <w:jc w:val="center"/>
              </w:trPr>
              <w:tc>
                <w:tcPr>
                  <w:tcW w:w="1303" w:type="dxa"/>
                  <w:vAlign w:val="center"/>
                </w:tcPr>
                <w:p w:rsidR="00B845D1" w:rsidRDefault="006C0C25" w:rsidP="00105617">
                  <w:pPr>
                    <w:spacing w:before="60" w:after="60"/>
                    <w:jc w:val="center"/>
                  </w:pPr>
                  <w:r>
                    <w:t>Wustite</w:t>
                  </w:r>
                </w:p>
              </w:tc>
              <w:tc>
                <w:tcPr>
                  <w:tcW w:w="1701" w:type="dxa"/>
                  <w:vAlign w:val="center"/>
                </w:tcPr>
                <w:p w:rsidR="00B845D1" w:rsidRPr="00B47979" w:rsidRDefault="006C0C25" w:rsidP="00105617">
                  <w:pPr>
                    <w:spacing w:before="60" w:after="60"/>
                    <w:jc w:val="center"/>
                  </w:pPr>
                  <m:oMathPara>
                    <m:oMath>
                      <m:r>
                        <m:rPr>
                          <m:sty m:val="p"/>
                        </m:rPr>
                        <w:rPr>
                          <w:rFonts w:ascii="Cambria Math" w:hAnsi="Cambria Math" w:cs="Calibri"/>
                        </w:rPr>
                        <m:t>FeO</m:t>
                      </m:r>
                    </m:oMath>
                  </m:oMathPara>
                </w:p>
              </w:tc>
              <w:tc>
                <w:tcPr>
                  <w:tcW w:w="1984" w:type="dxa"/>
                  <w:vAlign w:val="center"/>
                </w:tcPr>
                <w:p w:rsidR="00B845D1" w:rsidRDefault="006C0C25" w:rsidP="00105617">
                  <w:pPr>
                    <w:spacing w:before="60" w:after="60"/>
                    <w:jc w:val="center"/>
                  </w:pPr>
                  <w:r>
                    <w:t>Poudre grise</w:t>
                  </w:r>
                </w:p>
              </w:tc>
              <w:tc>
                <w:tcPr>
                  <w:tcW w:w="2693" w:type="dxa"/>
                  <w:vAlign w:val="center"/>
                </w:tcPr>
                <w:p w:rsidR="00B845D1" w:rsidRPr="00B47979" w:rsidRDefault="006C0C25"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→FeO</m:t>
                      </m:r>
                    </m:oMath>
                  </m:oMathPara>
                </w:p>
              </w:tc>
            </w:tr>
            <w:tr w:rsidR="00B845D1" w:rsidTr="00E92982">
              <w:trPr>
                <w:jc w:val="center"/>
              </w:trPr>
              <w:tc>
                <w:tcPr>
                  <w:tcW w:w="1303" w:type="dxa"/>
                  <w:tcBorders>
                    <w:bottom w:val="single" w:sz="4" w:space="0" w:color="auto"/>
                  </w:tcBorders>
                  <w:vAlign w:val="center"/>
                </w:tcPr>
                <w:p w:rsidR="00B845D1" w:rsidRDefault="006C0C25" w:rsidP="00105617">
                  <w:pPr>
                    <w:spacing w:before="60" w:after="60"/>
                    <w:jc w:val="center"/>
                  </w:pPr>
                  <w:r>
                    <w:t>Hématite</w:t>
                  </w:r>
                </w:p>
              </w:tc>
              <w:tc>
                <w:tcPr>
                  <w:tcW w:w="1701" w:type="dxa"/>
                  <w:tcBorders>
                    <w:bottom w:val="single" w:sz="4" w:space="0" w:color="auto"/>
                  </w:tcBorders>
                  <w:vAlign w:val="center"/>
                </w:tcPr>
                <w:p w:rsidR="00B845D1" w:rsidRPr="00B47979" w:rsidRDefault="006C0C25"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c>
                <w:tcPr>
                  <w:tcW w:w="1984" w:type="dxa"/>
                  <w:tcBorders>
                    <w:bottom w:val="single" w:sz="4" w:space="0" w:color="auto"/>
                  </w:tcBorders>
                  <w:vAlign w:val="center"/>
                </w:tcPr>
                <w:p w:rsidR="00B845D1" w:rsidRDefault="006C0C25" w:rsidP="00105617">
                  <w:pPr>
                    <w:spacing w:before="60" w:after="60"/>
                    <w:jc w:val="center"/>
                  </w:pPr>
                  <w:r>
                    <w:t>Minéral de couleur rouille</w:t>
                  </w:r>
                </w:p>
              </w:tc>
              <w:tc>
                <w:tcPr>
                  <w:tcW w:w="2693" w:type="dxa"/>
                  <w:tcBorders>
                    <w:bottom w:val="single" w:sz="4" w:space="0" w:color="auto"/>
                  </w:tcBorders>
                  <w:vAlign w:val="center"/>
                </w:tcPr>
                <w:p w:rsidR="00B845D1" w:rsidRPr="00B47979" w:rsidRDefault="006C0C25"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r>
            <w:tr w:rsidR="00B845D1" w:rsidTr="00E92982">
              <w:trPr>
                <w:jc w:val="center"/>
              </w:trPr>
              <w:tc>
                <w:tcPr>
                  <w:tcW w:w="1303" w:type="dxa"/>
                  <w:tcBorders>
                    <w:top w:val="single" w:sz="4" w:space="0" w:color="auto"/>
                    <w:left w:val="single" w:sz="4" w:space="0" w:color="auto"/>
                    <w:bottom w:val="single" w:sz="4" w:space="0" w:color="auto"/>
                    <w:right w:val="single" w:sz="4" w:space="0" w:color="auto"/>
                  </w:tcBorders>
                  <w:vAlign w:val="center"/>
                </w:tcPr>
                <w:p w:rsidR="00B845D1" w:rsidRDefault="006C0C25" w:rsidP="00105617">
                  <w:pPr>
                    <w:spacing w:before="60" w:after="60"/>
                    <w:jc w:val="center"/>
                  </w:pPr>
                  <w:r>
                    <w:t>Magnétite</w:t>
                  </w:r>
                </w:p>
              </w:tc>
              <w:tc>
                <w:tcPr>
                  <w:tcW w:w="1701" w:type="dxa"/>
                  <w:tcBorders>
                    <w:top w:val="single" w:sz="4" w:space="0" w:color="auto"/>
                    <w:left w:val="single" w:sz="4" w:space="0" w:color="auto"/>
                    <w:bottom w:val="single" w:sz="4" w:space="0" w:color="auto"/>
                    <w:right w:val="single" w:sz="4" w:space="0" w:color="auto"/>
                  </w:tcBorders>
                  <w:vAlign w:val="center"/>
                </w:tcPr>
                <w:p w:rsidR="00B845D1" w:rsidRPr="00B47979" w:rsidRDefault="006C0C25"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c>
                <w:tcPr>
                  <w:tcW w:w="1984" w:type="dxa"/>
                  <w:tcBorders>
                    <w:top w:val="single" w:sz="4" w:space="0" w:color="auto"/>
                    <w:left w:val="single" w:sz="4" w:space="0" w:color="auto"/>
                    <w:bottom w:val="single" w:sz="4" w:space="0" w:color="auto"/>
                    <w:right w:val="single" w:sz="4" w:space="0" w:color="auto"/>
                  </w:tcBorders>
                  <w:vAlign w:val="center"/>
                </w:tcPr>
                <w:p w:rsidR="00B845D1" w:rsidRDefault="006C0C25" w:rsidP="00105617">
                  <w:pPr>
                    <w:spacing w:before="60" w:after="60"/>
                    <w:jc w:val="center"/>
                  </w:pPr>
                  <w:r>
                    <w:t>Minéral de couleur noire</w:t>
                  </w:r>
                </w:p>
              </w:tc>
              <w:tc>
                <w:tcPr>
                  <w:tcW w:w="2693" w:type="dxa"/>
                  <w:tcBorders>
                    <w:top w:val="single" w:sz="4" w:space="0" w:color="auto"/>
                    <w:left w:val="single" w:sz="4" w:space="0" w:color="auto"/>
                    <w:bottom w:val="single" w:sz="4" w:space="0" w:color="auto"/>
                    <w:right w:val="single" w:sz="4" w:space="0" w:color="auto"/>
                  </w:tcBorders>
                  <w:vAlign w:val="center"/>
                </w:tcPr>
                <w:p w:rsidR="00B845D1" w:rsidRPr="00B47979" w:rsidRDefault="006C0C25"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r>
          </w:tbl>
          <w:p w:rsidR="00B845D1" w:rsidRDefault="006C0C25" w:rsidP="00105617">
            <w:pPr>
              <w:jc w:val="both"/>
            </w:pPr>
          </w:p>
        </w:tc>
      </w:tr>
    </w:tbl>
    <w:p w:rsidR="00B845D1" w:rsidRDefault="006C0C25" w:rsidP="006C5A85">
      <w:pPr>
        <w:spacing w:before="360" w:after="360"/>
        <w:jc w:val="both"/>
      </w:pPr>
      <w:r>
        <w:rPr>
          <w:b/>
        </w:rPr>
        <w:t>3-</w:t>
      </w:r>
      <w:r>
        <w:t xml:space="preserve"> Justifier que l’oxyde de fer majoritaire présent dans les BIF correspond à l’hématite et ajuster l’équation chimique de sa formation après l’avoir recopiée sur la copie.</w:t>
      </w:r>
    </w:p>
    <w:tbl>
      <w:tblPr>
        <w:tblStyle w:val="Grilledutableau"/>
        <w:tblW w:w="9067" w:type="dxa"/>
        <w:jc w:val="center"/>
        <w:tblLook w:val="04A0" w:firstRow="1" w:lastRow="0" w:firstColumn="1" w:lastColumn="0" w:noHBand="0" w:noVBand="1"/>
      </w:tblPr>
      <w:tblGrid>
        <w:gridCol w:w="9067"/>
      </w:tblGrid>
      <w:tr w:rsidR="00B845D1" w:rsidTr="0004688F">
        <w:trPr>
          <w:trHeight w:val="6946"/>
          <w:jc w:val="center"/>
        </w:trPr>
        <w:tc>
          <w:tcPr>
            <w:tcW w:w="9067" w:type="dxa"/>
          </w:tcPr>
          <w:p w:rsidR="00B845D1" w:rsidRPr="00DF7FF2" w:rsidRDefault="006C0C25" w:rsidP="0004688F">
            <w:pPr>
              <w:spacing w:after="120"/>
              <w:ind w:left="1585" w:hanging="1705"/>
              <w:jc w:val="both"/>
              <w:rPr>
                <w:rFonts w:cs="Arial"/>
                <w:b/>
              </w:rPr>
            </w:pPr>
            <w:r w:rsidRPr="00DF7FF2">
              <w:rPr>
                <w:b/>
                <w:bCs/>
                <w:noProof/>
              </w:rPr>
              <w:lastRenderedPageBreak/>
              <w:drawing>
                <wp:anchor distT="0" distB="0" distL="114300" distR="114300" simplePos="0" relativeHeight="251661312" behindDoc="1" locked="0" layoutInCell="1" allowOverlap="1" wp14:anchorId="443901ED" wp14:editId="5B754330">
                  <wp:simplePos x="0" y="0"/>
                  <wp:positionH relativeFrom="column">
                    <wp:posOffset>561975</wp:posOffset>
                  </wp:positionH>
                  <wp:positionV relativeFrom="paragraph">
                    <wp:posOffset>427990</wp:posOffset>
                  </wp:positionV>
                  <wp:extent cx="4358005" cy="3279140"/>
                  <wp:effectExtent l="0" t="0" r="4445" b="0"/>
                  <wp:wrapTopAndBottom/>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3">
                            <a:extLst>
                              <a:ext uri="{BEBA8EAE-BF5A-486C-A8C5-ECC9F3942E4B}">
                                <a14:imgProps xmlns:a14="http://schemas.microsoft.com/office/drawing/2010/main">
                                  <a14:imgLayer>
                                    <a14:imgEffect>
                                      <a14:sharpenSoften amount="50000"/>
                                    </a14:imgEffect>
                                    <a14:imgEffect>
                                      <a14:saturation sat="0"/>
                                    </a14:imgEffect>
                                  </a14:imgLayer>
                                </a14:imgProps>
                              </a:ext>
                            </a:extLst>
                          </a:blip>
                          <a:stretch/>
                        </pic:blipFill>
                        <pic:spPr bwMode="auto">
                          <a:xfrm>
                            <a:off x="0" y="0"/>
                            <a:ext cx="4358005" cy="32791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Pr="00DF7FF2">
              <w:rPr>
                <w:rFonts w:cs="Arial"/>
                <w:b/>
                <w:bCs/>
                <w:u w:val="single"/>
              </w:rPr>
              <w:t>Document</w:t>
            </w:r>
            <w:r w:rsidRPr="00DF7FF2">
              <w:rPr>
                <w:rFonts w:cs="Arial"/>
                <w:b/>
                <w:u w:val="single"/>
              </w:rPr>
              <w:t xml:space="preserve"> 3</w:t>
            </w:r>
            <w:r>
              <w:rPr>
                <w:rFonts w:cs="Arial"/>
                <w:b/>
              </w:rPr>
              <w:t> : </w:t>
            </w:r>
            <w:r w:rsidRPr="00DF7FF2">
              <w:rPr>
                <w:rFonts w:cs="Arial"/>
                <w:b/>
              </w:rPr>
              <w:t xml:space="preserve">évolution de la formation des paléosols rouges et des fers rubanés au </w:t>
            </w:r>
            <w:r w:rsidRPr="00DF7FF2">
              <w:rPr>
                <w:rFonts w:cs="Arial"/>
                <w:b/>
              </w:rPr>
              <w:t>cours du temps</w:t>
            </w:r>
          </w:p>
          <w:p w:rsidR="00B845D1" w:rsidRPr="00DF7FF2" w:rsidRDefault="006C0C25" w:rsidP="00105617">
            <w:pPr>
              <w:spacing w:after="240"/>
              <w:jc w:val="right"/>
              <w:rPr>
                <w:rFonts w:cs="Arial"/>
                <w:sz w:val="20"/>
                <w:szCs w:val="20"/>
              </w:rPr>
            </w:pPr>
            <w:r w:rsidRPr="00DF7FF2">
              <w:rPr>
                <w:sz w:val="20"/>
                <w:szCs w:val="20"/>
              </w:rPr>
              <w:t>D’après C. Klein, Nature, 199</w:t>
            </w:r>
            <w:r w:rsidRPr="00DF7FF2">
              <w:rPr>
                <w:rFonts w:cs="Arial"/>
                <w:sz w:val="20"/>
                <w:szCs w:val="20"/>
              </w:rPr>
              <w:t>7</w:t>
            </w:r>
          </w:p>
          <w:p w:rsidR="00B845D1" w:rsidRDefault="006C0C25" w:rsidP="00105617">
            <w:pPr>
              <w:spacing w:after="120"/>
              <w:jc w:val="both"/>
              <w:rPr>
                <w:rFonts w:cs="Arial"/>
                <w:i/>
              </w:rPr>
            </w:pPr>
            <w:r>
              <w:rPr>
                <w:rFonts w:cs="Arial"/>
                <w:i/>
              </w:rPr>
              <w:t>L’axe des abscisses correspond à l’âge des roches en milliard d’années avant le présent</w:t>
            </w:r>
            <w:r>
              <w:rPr>
                <w:rFonts w:cs="Arial"/>
              </w:rPr>
              <w:t xml:space="preserve">. </w:t>
            </w:r>
            <w:r>
              <w:rPr>
                <w:rFonts w:cs="Arial"/>
                <w:i/>
              </w:rPr>
              <w:t>L’axe des ordonnées correspond à la quantité relative des roches formées.</w:t>
            </w:r>
          </w:p>
          <w:p w:rsidR="00DF7FF2" w:rsidRDefault="006C0C25" w:rsidP="00105617">
            <w:pPr>
              <w:spacing w:after="120"/>
              <w:jc w:val="both"/>
              <w:rPr>
                <w:rFonts w:cs="Arial"/>
              </w:rPr>
            </w:pPr>
            <w:r>
              <w:rPr>
                <w:rFonts w:cs="Arial"/>
              </w:rPr>
              <w:t>Les paléosols, ou sols fossiles, se sont formés</w:t>
            </w:r>
            <w:r>
              <w:rPr>
                <w:rFonts w:cs="Arial"/>
              </w:rPr>
              <w:t xml:space="preserve"> par altération de roches continentales au contact de l’atmosphère. La couleur rouge de certains de ces sols provient de la forte teneur en hématite. Les fers rubanés sont toujours des formations sédimentaires marines.</w:t>
            </w:r>
          </w:p>
          <w:p w:rsidR="00DF7FF2" w:rsidRPr="00DF7FF2" w:rsidRDefault="006C0C25" w:rsidP="0004688F">
            <w:pPr>
              <w:spacing w:after="120"/>
              <w:jc w:val="both"/>
              <w:rPr>
                <w:rFonts w:cs="Arial"/>
              </w:rPr>
            </w:pPr>
            <w:r>
              <w:rPr>
                <w:rFonts w:cs="Arial"/>
              </w:rPr>
              <w:t>Le volcanisme continental et marin re</w:t>
            </w:r>
            <w:r>
              <w:rPr>
                <w:rFonts w:cs="Arial"/>
              </w:rPr>
              <w:t xml:space="preserve">lâchent une quantité importante </w:t>
            </w:r>
            <w:r>
              <w:rPr>
                <w:rFonts w:cs="Arial"/>
                <w:highlight w:val="white"/>
              </w:rPr>
              <w:t>de</w:t>
            </w:r>
            <w:r>
              <w:rPr>
                <w:rFonts w:cs="Arial"/>
              </w:rPr>
              <w:t xml:space="preserve"> fer sous forme d’ions </w:t>
            </w:r>
            <w:r>
              <w:rPr>
                <w:rFonts w:cs="Arial"/>
                <w:highlight w:val="white"/>
              </w:rPr>
              <w:t>Fe</w:t>
            </w:r>
            <w:r>
              <w:rPr>
                <w:rFonts w:cs="Arial"/>
                <w:highlight w:val="white"/>
                <w:vertAlign w:val="superscript"/>
              </w:rPr>
              <w:t>2+</w:t>
            </w:r>
            <w:r>
              <w:rPr>
                <w:rFonts w:cs="Arial"/>
              </w:rPr>
              <w:t xml:space="preserve"> oxydés en </w:t>
            </w:r>
            <w:r>
              <w:rPr>
                <w:rFonts w:cs="Arial"/>
                <w:highlight w:val="white"/>
              </w:rPr>
              <w:t>Fe</w:t>
            </w:r>
            <w:r>
              <w:rPr>
                <w:rFonts w:cs="Arial"/>
                <w:highlight w:val="white"/>
                <w:vertAlign w:val="superscript"/>
              </w:rPr>
              <w:t>3+</w:t>
            </w:r>
            <w:r>
              <w:rPr>
                <w:rFonts w:cs="Arial"/>
              </w:rPr>
              <w:t xml:space="preserve"> par le dioxygène entraînant la formation de l’hématite.</w:t>
            </w:r>
          </w:p>
        </w:tc>
      </w:tr>
    </w:tbl>
    <w:p w:rsidR="00B845D1" w:rsidRDefault="006C0C25" w:rsidP="000310BE">
      <w:pPr>
        <w:spacing w:before="360" w:after="240"/>
        <w:jc w:val="both"/>
      </w:pPr>
      <w:r>
        <w:rPr>
          <w:b/>
        </w:rPr>
        <w:t>4-</w:t>
      </w:r>
      <w:r>
        <w:t xml:space="preserve"> À</w:t>
      </w:r>
      <w:r>
        <w:t xml:space="preserve"> l’aide du document 3, proposer une chronologie d’évènements ayant conduit à la mise en place d’une atmosphère riche en dioxygène.</w:t>
      </w:r>
    </w:p>
    <w:p w:rsidR="00B845D1" w:rsidRDefault="006C0C25" w:rsidP="000310BE">
      <w:pPr>
        <w:spacing w:after="240"/>
        <w:jc w:val="both"/>
      </w:pPr>
      <w:r>
        <w:rPr>
          <w:b/>
        </w:rPr>
        <w:t>5-</w:t>
      </w:r>
      <w:r>
        <w:t xml:space="preserve"> D’après les connaissances, indiquer comment se forme l’ozone (O</w:t>
      </w:r>
      <w:r w:rsidRPr="004F7723">
        <w:rPr>
          <w:vertAlign w:val="subscript"/>
        </w:rPr>
        <w:t>3</w:t>
      </w:r>
      <w:r>
        <w:t>) dans la stratosphère et quel est son rôle sur le dévelop</w:t>
      </w:r>
      <w:r>
        <w:t>pement de la vie terrestre.</w:t>
      </w:r>
    </w:p>
    <w:sectPr w:rsidR="00B845D1" w:rsidSect="00E61EB3">
      <w:headerReference w:type="even" r:id="rId14"/>
      <w:headerReference w:type="default" r:id="rId15"/>
      <w:footerReference w:type="even" r:id="rId16"/>
      <w:footerReference w:type="default" r:id="rId17"/>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6"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C0C25" w:rsidRPr="006C0C25">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C0C25" w:rsidRPr="006C0C25">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C0C25" w:rsidRPr="006C0C25">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C0C25" w:rsidRPr="006C0C25">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8"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7"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C0C25"/>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Sansinterligne">
    <w:name w:val="No Spacing"/>
    <w:uiPriority w:val="1"/>
    <w:qFormat/>
    <w:rsid w:val="00C7766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1232</Words>
  <Characters>6777</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