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DB51E6">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DB51E6">
              <w:rPr>
                <w:rFonts w:eastAsia="Times New Roman"/>
                <w:color w:val="000000" w:themeColor="text1"/>
                <w:sz w:val="20"/>
                <w:szCs w:val="22"/>
              </w:rPr>
              <w:t>Terminale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DB51E6">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DB51E6">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DB51E6">
              <w:rPr>
                <w:rFonts w:eastAsia="Times New Roman"/>
                <w:b/>
                <w:color w:val="000000" w:themeColor="text1"/>
                <w:sz w:val="20"/>
                <w:szCs w:val="22"/>
              </w:rPr>
              <w:t xml:space="preserve"> </w:t>
            </w:r>
            <w:r w:rsidR="00DB51E6">
              <w:rPr>
                <w:rFonts w:eastAsia="Times New Roman"/>
                <w:b/>
                <w:color w:val="000000" w:themeColor="text1"/>
                <w:sz w:val="20"/>
                <w:szCs w:val="22"/>
              </w:rPr>
              <w:t>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DB51E6"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DB51E6">
              <w:rPr>
                <w:rFonts w:eastAsia="Times New Roman"/>
                <w:color w:val="000000" w:themeColor="text1"/>
                <w:sz w:val="20"/>
                <w:szCs w:val="22"/>
              </w:rPr>
              <w:t xml:space="preserve">isés (LV) : </w:t>
            </w:r>
            <w:r w:rsidR="00DB51E6">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DB51E6">
              <w:rPr>
                <w:rFonts w:eastAsia="Times New Roman"/>
                <w:color w:val="000000" w:themeColor="text1"/>
                <w:sz w:val="20"/>
                <w:szCs w:val="22"/>
              </w:rPr>
              <w:t xml:space="preserve"> </w:t>
            </w:r>
            <w:r w:rsidR="00DB51E6">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DB51E6">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DB51E6">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DB51E6">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DB51E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DB51E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DB51E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DB51E6" w:rsidRPr="00626E0F">
              <w:rPr>
                <w:rFonts w:eastAsia="Times New Roman"/>
                <w:color w:val="000000" w:themeColor="text1"/>
                <w:sz w:val="20"/>
                <w:szCs w:val="22"/>
              </w:rPr>
              <w:t xml:space="preserve"> </w:t>
            </w:r>
            <w:r w:rsidR="00DB51E6">
              <w:rPr>
                <w:rFonts w:eastAsia="Times New Roman"/>
                <w:color w:val="000000" w:themeColor="text1"/>
                <w:sz w:val="20"/>
                <w:szCs w:val="22"/>
              </w:rPr>
              <w:fldChar w:fldCharType="begin"/>
            </w:r>
            <w:r w:rsidR="00DB51E6">
              <w:rPr>
                <w:rFonts w:eastAsia="Times New Roman"/>
                <w:color w:val="000000" w:themeColor="text1"/>
                <w:sz w:val="20"/>
                <w:szCs w:val="22"/>
              </w:rPr>
              <w:instrText xml:space="preserve"> NUMPAGES   \* MERGEFORMAT </w:instrText>
            </w:r>
            <w:r w:rsidR="00DB51E6">
              <w:rPr>
                <w:rFonts w:eastAsia="Times New Roman"/>
                <w:color w:val="000000" w:themeColor="text1"/>
                <w:sz w:val="20"/>
                <w:szCs w:val="22"/>
              </w:rPr>
              <w:fldChar w:fldCharType="separate"/>
            </w:r>
            <w:r w:rsidR="00DB51E6">
              <w:rPr>
                <w:rFonts w:eastAsia="Times New Roman"/>
                <w:noProof/>
                <w:color w:val="000000" w:themeColor="text1"/>
                <w:sz w:val="20"/>
                <w:szCs w:val="22"/>
              </w:rPr>
              <w:t>8</w:t>
            </w:r>
            <w:r w:rsidR="00DB51E6">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8660AD" w:rsidRDefault="00DB51E6" w:rsidP="008660AD">
      <w:pPr>
        <w:pStyle w:val="EnTetePiedsDePage"/>
        <w:jc w:val="center"/>
        <w:rPr>
          <w:b/>
          <w:bCs/>
          <w:sz w:val="28"/>
          <w:szCs w:val="28"/>
        </w:rPr>
      </w:pPr>
      <w:r w:rsidRPr="00CB5771">
        <w:rPr>
          <w:b/>
          <w:bCs/>
          <w:sz w:val="28"/>
          <w:szCs w:val="28"/>
        </w:rPr>
        <w:t xml:space="preserve">Le candidat traite </w:t>
      </w:r>
      <w:r>
        <w:rPr>
          <w:b/>
          <w:bCs/>
          <w:sz w:val="28"/>
          <w:szCs w:val="28"/>
        </w:rPr>
        <w:t xml:space="preserve">les </w:t>
      </w:r>
      <w:r w:rsidRPr="00CB5771">
        <w:rPr>
          <w:b/>
          <w:bCs/>
          <w:sz w:val="28"/>
          <w:szCs w:val="28"/>
        </w:rPr>
        <w:t>deux exercices</w:t>
      </w:r>
    </w:p>
    <w:p w:rsidR="00400A0D" w:rsidRPr="00645773" w:rsidRDefault="00DB51E6" w:rsidP="008660AD">
      <w:pPr>
        <w:pStyle w:val="EnTetePiedsDePage"/>
        <w:jc w:val="center"/>
        <w:rPr>
          <w:sz w:val="24"/>
        </w:rPr>
      </w:pPr>
      <w:r w:rsidRPr="00CB5771">
        <w:rPr>
          <w:b/>
          <w:bCs/>
          <w:sz w:val="28"/>
          <w:szCs w:val="28"/>
        </w:rPr>
        <w:t>qu</w:t>
      </w:r>
      <w:r>
        <w:rPr>
          <w:b/>
          <w:bCs/>
          <w:sz w:val="28"/>
          <w:szCs w:val="28"/>
        </w:rPr>
        <w:t>i sont proposés dans ce sujet.</w:t>
      </w:r>
      <w:r>
        <w:br w:type="page"/>
      </w:r>
    </w:p>
    <w:p w:rsidR="005177D2" w:rsidRPr="00A77456" w:rsidRDefault="00DB51E6" w:rsidP="005177D2">
      <w:pPr>
        <w:spacing w:after="80"/>
        <w:jc w:val="center"/>
        <w:rPr>
          <w:rFonts w:eastAsia="Arial" w:cs="Arial"/>
          <w:b/>
          <w:sz w:val="32"/>
        </w:rPr>
      </w:pPr>
      <w:r>
        <w:rPr>
          <w:rFonts w:eastAsia="Arial" w:cs="Arial"/>
          <w:b/>
          <w:sz w:val="32"/>
        </w:rPr>
        <w:lastRenderedPageBreak/>
        <w:t xml:space="preserve">Exercice 1 – </w:t>
      </w:r>
      <w:r w:rsidRPr="00A77456">
        <w:rPr>
          <w:rFonts w:eastAsia="Arial" w:cs="Arial"/>
          <w:b/>
          <w:i/>
          <w:sz w:val="28"/>
        </w:rPr>
        <w:t>Niveau terminale</w:t>
      </w:r>
    </w:p>
    <w:p w:rsidR="005177D2" w:rsidRPr="00A77456" w:rsidRDefault="00DB51E6" w:rsidP="005177D2">
      <w:pPr>
        <w:spacing w:after="240"/>
        <w:jc w:val="center"/>
        <w:rPr>
          <w:rFonts w:eastAsia="Arial" w:cs="Arial"/>
          <w:i/>
        </w:rPr>
      </w:pPr>
      <w:r w:rsidRPr="00A77456">
        <w:rPr>
          <w:rFonts w:eastAsia="Arial" w:cs="Arial"/>
          <w:i/>
        </w:rPr>
        <w:t>Thème « </w:t>
      </w:r>
      <w:r>
        <w:rPr>
          <w:rFonts w:eastAsia="Arial" w:cs="Arial"/>
          <w:i/>
        </w:rPr>
        <w:t>Une histoire du vivant »</w:t>
      </w:r>
    </w:p>
    <w:p w:rsidR="005177D2" w:rsidRPr="00D87AD1" w:rsidRDefault="00DB51E6" w:rsidP="005177D2">
      <w:pPr>
        <w:spacing w:after="120"/>
        <w:jc w:val="both"/>
        <w:rPr>
          <w:b/>
          <w:sz w:val="22"/>
        </w:rPr>
      </w:pPr>
      <w:r>
        <w:rPr>
          <w:b/>
          <w:sz w:val="28"/>
        </w:rPr>
        <w:t>Les conséquences de la déforestation à Bornéo sur les populations d’orangs-outans</w:t>
      </w:r>
    </w:p>
    <w:p w:rsidR="003822A3" w:rsidRPr="005177D2" w:rsidRDefault="00DB51E6" w:rsidP="005177D2">
      <w:pPr>
        <w:spacing w:after="240"/>
        <w:rPr>
          <w:i/>
        </w:rPr>
      </w:pPr>
      <w:r w:rsidRPr="00D74F67">
        <w:rPr>
          <w:i/>
        </w:rPr>
        <w:t xml:space="preserve">Sur </w:t>
      </w:r>
      <w:r w:rsidRPr="00D74F67">
        <w:rPr>
          <w:i/>
        </w:rPr>
        <w:t>10 points</w:t>
      </w:r>
    </w:p>
    <w:p w:rsidR="00510571" w:rsidRDefault="00DB51E6" w:rsidP="00CC3844">
      <w:pPr>
        <w:spacing w:after="120"/>
        <w:jc w:val="both"/>
      </w:pPr>
      <w:r>
        <w:t>Située en Asie du Sud-Est, à la jonction entre l’océan Indien et l’océan Pacifique, l’île de Bornéo représente 1 % des terres émergées. Elle détient 6 % de la biodiversité en lien avec sa richesse en écosystèmes (forêts tropicales, mangroves…). S</w:t>
      </w:r>
      <w:r>
        <w:t>es forêts sont actuellement défrichées, notamment pour laisser place à des exploitations agricoles comme les palmeraies.</w:t>
      </w:r>
      <w:r>
        <w:t xml:space="preserve"> </w:t>
      </w:r>
    </w:p>
    <w:p w:rsidR="001D0E06" w:rsidRPr="001D0E06" w:rsidRDefault="00DB51E6" w:rsidP="00CC3844">
      <w:pPr>
        <w:spacing w:after="120"/>
        <w:jc w:val="both"/>
      </w:pPr>
      <w:r>
        <w:t>Dans les forêts de Bornéo, vit une espèce de grand-singe, l’orang-outan (</w:t>
      </w:r>
      <w:r w:rsidRPr="007F1953">
        <w:rPr>
          <w:i/>
        </w:rPr>
        <w:t>Pongo pygmaeus</w:t>
      </w:r>
      <w:r>
        <w:t>), qui est en danger critique d’extinction (sel</w:t>
      </w:r>
      <w:r>
        <w:t xml:space="preserve">on l’UICN). </w:t>
      </w:r>
      <w:r w:rsidRPr="001D0E06">
        <w:t>L'espèce est menacée par la perte de son habitat naturel</w:t>
      </w:r>
      <w:r>
        <w:t>.</w:t>
      </w:r>
    </w:p>
    <w:p w:rsidR="007F1953" w:rsidRDefault="00DB51E6" w:rsidP="00424A52">
      <w:pPr>
        <w:spacing w:after="120"/>
        <w:jc w:val="both"/>
      </w:pPr>
      <w:r w:rsidRPr="001D0E06">
        <w:t>Bien que l'ADN des orangs-outans est beaucoup plus diversifié que celui de l'espèce humaine, on s’intéresse aux conséquences possibles de la</w:t>
      </w:r>
      <w:r>
        <w:t xml:space="preserve"> déforestation sur la diversité génétique des </w:t>
      </w:r>
      <w:r>
        <w:t>populations d’orangs-outans.</w:t>
      </w: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9"/>
        <w:gridCol w:w="4746"/>
      </w:tblGrid>
      <w:tr w:rsidR="00F63135" w:rsidTr="00424A52">
        <w:tc>
          <w:tcPr>
            <w:tcW w:w="4403" w:type="dxa"/>
          </w:tcPr>
          <w:p w:rsidR="00F63135" w:rsidRPr="001D0E06" w:rsidRDefault="00DB51E6" w:rsidP="00137864">
            <w:pPr>
              <w:spacing w:before="120" w:after="120"/>
              <w:jc w:val="center"/>
              <w:rPr>
                <w:b/>
                <w:bCs/>
              </w:rPr>
            </w:pPr>
            <w:r w:rsidRPr="001D0E06">
              <w:rPr>
                <w:b/>
                <w:bCs/>
              </w:rPr>
              <w:t>Orang-outan</w:t>
            </w:r>
          </w:p>
        </w:tc>
        <w:tc>
          <w:tcPr>
            <w:tcW w:w="4662" w:type="dxa"/>
          </w:tcPr>
          <w:p w:rsidR="00F63135" w:rsidRPr="001D0E06" w:rsidRDefault="00DB51E6" w:rsidP="00137864">
            <w:pPr>
              <w:spacing w:before="120" w:after="120"/>
              <w:jc w:val="center"/>
              <w:rPr>
                <w:b/>
                <w:bCs/>
              </w:rPr>
            </w:pPr>
            <w:r w:rsidRPr="001D0E06">
              <w:rPr>
                <w:b/>
                <w:bCs/>
              </w:rPr>
              <w:t>Île de Bornéo (Asie du Sud-Est)</w:t>
            </w:r>
          </w:p>
        </w:tc>
      </w:tr>
      <w:tr w:rsidR="00F63135" w:rsidTr="00424A52">
        <w:tc>
          <w:tcPr>
            <w:tcW w:w="4403" w:type="dxa"/>
          </w:tcPr>
          <w:p w:rsidR="00F63135" w:rsidRDefault="00DB51E6" w:rsidP="00F63135">
            <w:pPr>
              <w:jc w:val="center"/>
            </w:pPr>
            <w:r>
              <w:rPr>
                <w:noProof/>
              </w:rPr>
              <w:drawing>
                <wp:inline distT="0" distB="0" distL="0" distR="0" wp14:anchorId="7DA6DC03" wp14:editId="3E0C431A">
                  <wp:extent cx="2248524" cy="3248660"/>
                  <wp:effectExtent l="0" t="0" r="0" b="0"/>
                  <wp:docPr id="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7"/>
                          <pic:cNvPicPr/>
                        </pic:nvPicPr>
                        <pic:blipFill>
                          <a:blip r:embed="rId10"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255119" cy="3258188"/>
                          </a:xfrm>
                          <a:prstGeom prst="rect">
                            <a:avLst/>
                          </a:prstGeom>
                        </pic:spPr>
                      </pic:pic>
                    </a:graphicData>
                  </a:graphic>
                </wp:inline>
              </w:drawing>
            </w:r>
          </w:p>
        </w:tc>
        <w:tc>
          <w:tcPr>
            <w:tcW w:w="4662" w:type="dxa"/>
          </w:tcPr>
          <w:p w:rsidR="00F63135" w:rsidRDefault="00DB51E6" w:rsidP="00AD7433">
            <w:pPr>
              <w:spacing w:before="120" w:after="120"/>
              <w:jc w:val="center"/>
            </w:pPr>
            <w:r>
              <w:rPr>
                <w:noProof/>
              </w:rPr>
              <w:drawing>
                <wp:anchor distT="0" distB="0" distL="114300" distR="114300" simplePos="0" relativeHeight="251665920" behindDoc="0" locked="0" layoutInCell="1" allowOverlap="1">
                  <wp:simplePos x="0" y="0"/>
                  <wp:positionH relativeFrom="column">
                    <wp:posOffset>-68580</wp:posOffset>
                  </wp:positionH>
                  <wp:positionV relativeFrom="paragraph">
                    <wp:posOffset>0</wp:posOffset>
                  </wp:positionV>
                  <wp:extent cx="2870200" cy="3035300"/>
                  <wp:effectExtent l="0" t="0" r="6350" b="0"/>
                  <wp:wrapTopAndBottom/>
                  <wp:docPr id="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4"/>
                          <pic:cNvPicPr/>
                        </pic:nvPicPr>
                        <pic:blipFill>
                          <a:blip r:embed="rId11"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870200" cy="3035300"/>
                          </a:xfrm>
                          <a:prstGeom prst="rect">
                            <a:avLst/>
                          </a:prstGeom>
                        </pic:spPr>
                      </pic:pic>
                    </a:graphicData>
                  </a:graphic>
                </wp:anchor>
              </w:drawing>
            </w:r>
            <w:r w:rsidRPr="00F63135">
              <w:rPr>
                <w:sz w:val="20"/>
                <w:szCs w:val="20"/>
              </w:rPr>
              <w:t>Source : wikipedia</w:t>
            </w:r>
            <w:r>
              <w:rPr>
                <w:noProof/>
              </w:rPr>
              <w:t xml:space="preserve"> </w:t>
            </w:r>
          </w:p>
        </w:tc>
      </w:tr>
    </w:tbl>
    <w:p w:rsidR="00C26BBB" w:rsidRDefault="00DB51E6">
      <w:pPr>
        <w:spacing w:after="0" w:line="240" w:lineRule="auto"/>
      </w:pPr>
      <w:r>
        <w:br w:type="page"/>
      </w:r>
    </w:p>
    <w:p w:rsidR="00F63135" w:rsidRDefault="00DB51E6">
      <w:pPr>
        <w:spacing w:after="0" w:line="240" w:lineRule="auto"/>
      </w:pPr>
    </w:p>
    <w:p w:rsidR="00C26BBB" w:rsidRDefault="00DB51E6">
      <w:pPr>
        <w:spacing w:after="0" w:line="240" w:lineRule="auto"/>
      </w:pPr>
    </w:p>
    <w:tbl>
      <w:tblPr>
        <w:tblStyle w:val="Grilledutableau"/>
        <w:tblW w:w="0" w:type="auto"/>
        <w:tblInd w:w="-5" w:type="dxa"/>
        <w:tblLook w:val="04A0" w:firstRow="1" w:lastRow="0" w:firstColumn="1" w:lastColumn="0" w:noHBand="0" w:noVBand="1"/>
      </w:tblPr>
      <w:tblGrid>
        <w:gridCol w:w="9065"/>
      </w:tblGrid>
      <w:tr w:rsidR="00CD6752" w:rsidTr="00680ECF">
        <w:tc>
          <w:tcPr>
            <w:tcW w:w="9065" w:type="dxa"/>
          </w:tcPr>
          <w:p w:rsidR="00CD6752" w:rsidRDefault="00DB51E6" w:rsidP="004238E5">
            <w:pPr>
              <w:spacing w:before="120" w:after="120"/>
              <w:jc w:val="both"/>
              <w:rPr>
                <w:b/>
                <w:bCs/>
              </w:rPr>
            </w:pPr>
            <w:r w:rsidRPr="00B33527">
              <w:rPr>
                <w:b/>
                <w:u w:val="single"/>
              </w:rPr>
              <w:t>Document 1 :</w:t>
            </w:r>
            <w:r w:rsidRPr="00B33527">
              <w:rPr>
                <w:b/>
              </w:rPr>
              <w:t xml:space="preserve"> représentation</w:t>
            </w:r>
            <w:r>
              <w:rPr>
                <w:b/>
                <w:bCs/>
              </w:rPr>
              <w:t xml:space="preserve"> simplifiée de l'évolution de la forêt tropicale dans la région de Kalimantan entre 1970 et 2020 (île de Bornéo)</w:t>
            </w:r>
          </w:p>
          <w:p w:rsidR="00CD6752" w:rsidRDefault="00DB51E6" w:rsidP="00063F0B">
            <w:pPr>
              <w:spacing w:before="120" w:after="120"/>
              <w:jc w:val="center"/>
              <w:rPr>
                <w:bCs/>
              </w:rPr>
            </w:pPr>
            <w:r>
              <w:rPr>
                <w:rFonts w:cs="Arial"/>
                <w:noProof/>
              </w:rPr>
              <w:pict w14:anchorId="149C01FA">
                <v:shapetype id="_x0000_t202" coordsize="21600,21600" o:spt="202" path="m,l,21600r21600,l21600,xe">
                  <v:stroke joinstyle="miter"/>
                  <v:path gradientshapeok="t" o:connecttype="rect"/>
                </v:shapetype>
                <v:shape id="_x0000_s1027" type="#_x0000_t202" style="position:absolute;left:0;text-align:left;margin-left:249.5pt;margin-top:194.85pt;width:161.25pt;height:40.5pt;z-index:25166284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" stroked="f">
                  <o:lock v:ext="edit" aspectratio="t" verticies="t" text="t" shapetype="t"/>
                  <v:textbox style="mso-next-textbox:#_x0000_s1027">
                    <w:txbxContent>
                      <w:p w:rsidR="00966EA8" w:rsidRDefault="00DB51E6" w:rsidP="00063F0B">
                        <w:pPr>
                          <w:jc w:val="center"/>
                        </w:pPr>
                        <w:r>
                          <w:t xml:space="preserve">Zone </w:t>
                        </w:r>
                        <w:r>
                          <w:t>étudiée de la région de Kalimantan en 2020</w:t>
                        </w:r>
                      </w:p>
                    </w:txbxContent>
                  </v:textbox>
                </v:shape>
              </w:pict>
            </w:r>
            <w:r>
              <w:rPr>
                <w:noProof/>
              </w:rPr>
              <w:pict w14:anchorId="343625B0">
                <v:shape id="_x0000_s1031" type="#_x0000_t202" alt="" style="position:absolute;left:0;text-align:left;margin-left:28.4pt;margin-top:194.65pt;width:164.65pt;height:41.3pt;z-index:251664896;mso-wrap-style:square;mso-wrap-edited:f;mso-width-percent:0;mso-height-percent:0;mso-width-percent:0;mso-height-percent:0;v-text-anchor:top" stroked="f">
                  <v:textbox style="mso-next-textbox:#_x0000_s1031">
                    <w:txbxContent>
                      <w:p w:rsidR="00966EA8" w:rsidRDefault="00DB51E6" w:rsidP="00063F0B">
                        <w:pPr>
                          <w:jc w:val="center"/>
                        </w:pPr>
                        <w:r>
                          <w:t>Zone étudiée de la région de Kalimantan en 1970</w:t>
                        </w:r>
                      </w:p>
                    </w:txbxContent>
                  </v:textbox>
                </v:shape>
              </w:pict>
            </w:r>
            <w:r>
              <w:rPr>
                <w:rFonts w:cs="Arial"/>
                <w:noProof/>
                <w:szCs w:val="22"/>
              </w:rPr>
              <w:drawing>
                <wp:inline distT="0" distB="0" distL="0" distR="0" wp14:anchorId="027808FB" wp14:editId="56B3E3A8">
                  <wp:extent cx="5128260" cy="2385034"/>
                  <wp:effectExtent l="0" t="0" r="0" b="0"/>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2" cstate="print">
                            <a:extLst>
                              <a:ext uri="{BEBA8EAE-BF5A-486C-A8C5-ECC9F3942E4B}">
                                <a14:imgProps xmlns:a14="http://schemas.microsoft.com/office/drawing/2010/main">
                                  <a14:imgLayer>
                                    <a14:imgEffect>
                                      <a14:sharpenSoften amount="50000"/>
                                    </a14:imgEffect>
                                    <a14:imgEffect>
                                      <a14:colorTemperature colorTemp="47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128260" cy="2385034"/>
                          </a:xfrm>
                          <a:prstGeom prst="rect">
                            <a:avLst/>
                          </a:prstGeom>
                          <a:noFill/>
                          <a:ln>
                            <a:noFill/>
                          </a:ln>
                        </pic:spPr>
                      </pic:pic>
                    </a:graphicData>
                  </a:graphic>
                </wp:inline>
              </w:drawing>
            </w:r>
          </w:p>
          <w:p w:rsidR="00966EA8" w:rsidRDefault="00DB51E6" w:rsidP="004238E5">
            <w:pPr>
              <w:spacing w:before="120" w:after="120"/>
            </w:pPr>
          </w:p>
          <w:p w:rsidR="00CD6752" w:rsidRDefault="00DB51E6" w:rsidP="004238E5">
            <w:pPr>
              <w:spacing w:before="120" w:after="120"/>
              <w:jc w:val="both"/>
            </w:pPr>
          </w:p>
          <w:p w:rsidR="00CD6752" w:rsidRPr="00CD6752" w:rsidRDefault="00DB51E6" w:rsidP="004238E5">
            <w:pPr>
              <w:spacing w:before="120" w:after="120" w:line="240" w:lineRule="auto"/>
              <w:rPr>
                <w:b/>
              </w:rPr>
            </w:pPr>
            <w:r>
              <w:t>Chaque carré a une aire de 100 km².</w:t>
            </w:r>
          </w:p>
          <w:p w:rsidR="00CD6752" w:rsidRDefault="00DB51E6" w:rsidP="004238E5">
            <w:pPr>
              <w:spacing w:before="120" w:after="120"/>
              <w:jc w:val="both"/>
            </w:pPr>
            <w:r>
              <w:t>Les carrés sombres correspondent à des zones recouvertes par de la forêt et les carrés blancs à des zones défrichées</w:t>
            </w:r>
          </w:p>
        </w:tc>
      </w:tr>
    </w:tbl>
    <w:p w:rsidR="00B33527" w:rsidRDefault="00DB51E6" w:rsidP="006D5D93">
      <w:pPr>
        <w:tabs>
          <w:tab w:val="left" w:pos="6048"/>
        </w:tabs>
        <w:jc w:val="both"/>
      </w:pPr>
    </w:p>
    <w:p w:rsidR="00103DA0" w:rsidRDefault="00DB51E6" w:rsidP="00C26BBB">
      <w:pPr>
        <w:tabs>
          <w:tab w:val="left" w:pos="6048"/>
        </w:tabs>
        <w:spacing w:after="120"/>
        <w:jc w:val="both"/>
      </w:pPr>
      <w:r w:rsidRPr="00A43F55">
        <w:rPr>
          <w:b/>
        </w:rPr>
        <w:t>1-</w:t>
      </w:r>
      <w:r>
        <w:t xml:space="preserve"> À l’aide du quadrillage fourni sur le document 1, déterminer l'impact de l'activité humaine sur la surface disponible pour les orangs-outans. Pour cela, calculer :</w:t>
      </w:r>
    </w:p>
    <w:p w:rsidR="00510571" w:rsidRDefault="00DB51E6" w:rsidP="00C26BBB">
      <w:pPr>
        <w:tabs>
          <w:tab w:val="left" w:pos="6048"/>
        </w:tabs>
        <w:spacing w:after="120"/>
        <w:ind w:left="426" w:hanging="142"/>
        <w:jc w:val="both"/>
        <w:rPr>
          <w:rFonts w:cs="Arial"/>
          <w:szCs w:val="22"/>
        </w:rPr>
      </w:pPr>
      <w:r>
        <w:t xml:space="preserve">- l’aire </w:t>
      </w:r>
      <w:bookmarkStart w:id="1" w:name="_Hlk58569047"/>
      <m:oMath>
        <m:sSub>
          <m:sSubPr>
            <m:ctrlPr>
              <w:rPr>
                <w:rFonts w:ascii="Cambria Math" w:hAnsi="Cambria Math"/>
                <w:i/>
              </w:rPr>
            </m:ctrlPr>
          </m:sSubPr>
          <m:e>
            <m:r>
              <m:rPr>
                <m:scr m:val="script"/>
              </m:rPr>
              <w:rPr>
                <w:rFonts w:ascii="Cambria Math" w:hAnsi="Cambria Math"/>
              </w:rPr>
              <m:t>A</m:t>
            </m:r>
          </m:e>
          <m:sub>
            <m:r>
              <w:rPr>
                <w:rFonts w:ascii="Cambria Math" w:hAnsi="Cambria Math"/>
              </w:rPr>
              <m:t>1970</m:t>
            </m:r>
          </m:sub>
        </m:sSub>
      </m:oMath>
      <w:bookmarkEnd w:id="1"/>
      <w:r>
        <w:t xml:space="preserve"> de la surface de forêt disponible en 1970 dans la région de Kalimantan </w:t>
      </w:r>
      <w:r>
        <w:rPr>
          <w:rFonts w:cs="Arial"/>
          <w:szCs w:val="22"/>
        </w:rPr>
        <w:t>étud</w:t>
      </w:r>
      <w:r>
        <w:rPr>
          <w:rFonts w:cs="Arial"/>
          <w:szCs w:val="22"/>
        </w:rPr>
        <w:t>iée ;</w:t>
      </w:r>
    </w:p>
    <w:p w:rsidR="006D5D93" w:rsidRDefault="00DB51E6" w:rsidP="00C26BBB">
      <w:pPr>
        <w:tabs>
          <w:tab w:val="left" w:pos="6048"/>
        </w:tabs>
        <w:spacing w:after="120"/>
        <w:ind w:left="426" w:hanging="142"/>
        <w:jc w:val="both"/>
        <w:rPr>
          <w:rFonts w:cs="Arial"/>
          <w:szCs w:val="22"/>
        </w:rPr>
      </w:pPr>
      <w:r>
        <w:rPr>
          <w:rFonts w:cs="Arial"/>
          <w:szCs w:val="22"/>
        </w:rPr>
        <w:t xml:space="preserve">- </w:t>
      </w:r>
      <w:r>
        <w:t xml:space="preserve">l’aire </w:t>
      </w:r>
      <m:oMath>
        <m:sSub>
          <m:sSubPr>
            <m:ctrlPr>
              <w:rPr>
                <w:rFonts w:ascii="Cambria Math" w:hAnsi="Cambria Math"/>
                <w:i/>
              </w:rPr>
            </m:ctrlPr>
          </m:sSubPr>
          <m:e>
            <m:r>
              <m:rPr>
                <m:scr m:val="script"/>
              </m:rPr>
              <w:rPr>
                <w:rFonts w:ascii="Cambria Math" w:hAnsi="Cambria Math"/>
              </w:rPr>
              <m:t>A</m:t>
            </m:r>
          </m:e>
          <m:sub>
            <m:r>
              <w:rPr>
                <w:rFonts w:ascii="Cambria Math" w:hAnsi="Cambria Math"/>
              </w:rPr>
              <m:t>2020</m:t>
            </m:r>
          </m:sub>
        </m:sSub>
      </m:oMath>
      <w:r>
        <w:t xml:space="preserve"> de la</w:t>
      </w:r>
      <w:r>
        <w:rPr>
          <w:rFonts w:cs="Arial"/>
          <w:szCs w:val="22"/>
        </w:rPr>
        <w:t xml:space="preserve"> surface de forêt disponible en 2020 dans la région de Kalimantan étudiée ;</w:t>
      </w:r>
    </w:p>
    <w:p w:rsidR="00B33527" w:rsidRDefault="00DB51E6" w:rsidP="00C26BBB">
      <w:pPr>
        <w:tabs>
          <w:tab w:val="left" w:pos="6048"/>
        </w:tabs>
        <w:spacing w:after="240"/>
        <w:ind w:left="426" w:hanging="142"/>
        <w:jc w:val="both"/>
      </w:pPr>
      <w:r>
        <w:t>- le pourcentage de diminution de l’aire de la surface disponible entre 1970 et 2020.</w:t>
      </w:r>
    </w:p>
    <w:p w:rsidR="00F63135" w:rsidRDefault="00DB51E6" w:rsidP="00C26BBB">
      <w:pPr>
        <w:spacing w:after="0" w:line="240" w:lineRule="auto"/>
        <w:ind w:left="426" w:hanging="142"/>
      </w:pPr>
      <w:r>
        <w:br w:type="page"/>
      </w:r>
    </w:p>
    <w:tbl>
      <w:tblPr>
        <w:tblStyle w:val="Grilledutableau"/>
        <w:tblW w:w="0" w:type="auto"/>
        <w:tblInd w:w="-5" w:type="dxa"/>
        <w:tblLook w:val="04A0" w:firstRow="1" w:lastRow="0" w:firstColumn="1" w:lastColumn="0" w:noHBand="0" w:noVBand="1"/>
      </w:tblPr>
      <w:tblGrid>
        <w:gridCol w:w="9065"/>
      </w:tblGrid>
      <w:tr w:rsidR="00966EA8" w:rsidTr="005A2F94">
        <w:tc>
          <w:tcPr>
            <w:tcW w:w="9065" w:type="dxa"/>
          </w:tcPr>
          <w:p w:rsidR="00966EA8" w:rsidRDefault="00DB51E6" w:rsidP="005A2F94">
            <w:pPr>
              <w:spacing w:before="120" w:after="120"/>
              <w:jc w:val="both"/>
            </w:pPr>
            <w:r w:rsidRPr="00D65C1D">
              <w:rPr>
                <w:b/>
                <w:bCs/>
                <w:u w:val="single"/>
              </w:rPr>
              <w:lastRenderedPageBreak/>
              <w:t>Document 2 :</w:t>
            </w:r>
            <w:r w:rsidRPr="00D65C1D">
              <w:rPr>
                <w:b/>
                <w:bCs/>
              </w:rPr>
              <w:t xml:space="preserve"> </w:t>
            </w:r>
            <w:r>
              <w:rPr>
                <w:b/>
                <w:bCs/>
              </w:rPr>
              <w:t>simulation de l’é</w:t>
            </w:r>
            <w:r w:rsidRPr="00D65C1D">
              <w:rPr>
                <w:b/>
                <w:bCs/>
              </w:rPr>
              <w:t xml:space="preserve">volution de la fréquence de trois </w:t>
            </w:r>
            <w:r w:rsidRPr="00D65C1D">
              <w:rPr>
                <w:b/>
                <w:bCs/>
              </w:rPr>
              <w:t>allèles d’un gène donné au cours des générations</w:t>
            </w:r>
          </w:p>
          <w:p w:rsidR="00966EA8" w:rsidRDefault="00DB51E6" w:rsidP="005A2F94">
            <w:pPr>
              <w:spacing w:after="240"/>
              <w:ind w:firstLine="4"/>
              <w:jc w:val="both"/>
            </w:pPr>
            <w:r>
              <w:t>Pour chaque graphique issu d’une simulation informatique, les différentes courbes représentent chacune l’évolution de la fréquence d’un des trois allèles d’un même gène au cours de quinze générations (pour u</w:t>
            </w:r>
            <w:r>
              <w:t>ne population théorique). On réalise des simulations en faisant varier le nombre d’individus de la population initiale : 10 et 100 individus. Les résultats des simulations sont donnés ci-dessous.</w:t>
            </w:r>
          </w:p>
          <w:p w:rsidR="007971CC" w:rsidRDefault="00DB51E6" w:rsidP="00B33527">
            <w:pPr>
              <w:ind w:firstLine="4"/>
              <w:jc w:val="center"/>
            </w:pPr>
            <w:r>
              <w:rPr>
                <w:noProof/>
              </w:rPr>
              <w:drawing>
                <wp:inline distT="0" distB="0" distL="0" distR="0" wp14:anchorId="28E2D476" wp14:editId="600CFB6F">
                  <wp:extent cx="4590053" cy="2734905"/>
                  <wp:effectExtent l="0" t="0" r="1270" b="8890"/>
                  <wp:docPr id="4" name="Image 1" descr="C:\Users\bhare\Desktop\Mission académique\Pédagogie_Lycée\ES_Enseignement scientifique\Sujets_EC_Tle ES\Sujets\sujet-11 dec\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pic:nvPicPr>
                        <pic:blipFill>
                          <a:blip r:embed="rId13">
                            <a:extLst>
                              <a:ext uri="{28A0092B-C50C-407E-A947-70E740481C1C}">
                                <a14:useLocalDpi xmlns:a14="http://schemas.microsoft.com/office/drawing/2010/main" val="0"/>
                              </a:ext>
                            </a:extLst>
                          </a:blip>
                          <a:stretch>
                            <a:fillRect/>
                          </a:stretch>
                        </pic:blipFill>
                        <pic:spPr>
                          <a:xfrm>
                            <a:off x="0" y="0"/>
                            <a:ext cx="4646407" cy="2768482"/>
                          </a:xfrm>
                          <a:prstGeom prst="rect">
                            <a:avLst/>
                          </a:prstGeom>
                        </pic:spPr>
                      </pic:pic>
                    </a:graphicData>
                  </a:graphic>
                </wp:inline>
              </w:drawing>
            </w:r>
          </w:p>
          <w:p w:rsidR="00996184" w:rsidRDefault="00DB51E6" w:rsidP="00B33527">
            <w:pPr>
              <w:ind w:firstLine="4"/>
              <w:jc w:val="center"/>
            </w:pPr>
            <w:r>
              <w:rPr>
                <w:noProof/>
              </w:rPr>
              <w:drawing>
                <wp:inline distT="0" distB="0" distL="0" distR="0" wp14:anchorId="3E9504BF" wp14:editId="167EB269">
                  <wp:extent cx="4596130" cy="2738527"/>
                  <wp:effectExtent l="0" t="0" r="0" b="5080"/>
                  <wp:docPr id="5" name="Image 3" descr="C:\Users\bhare\Desktop\Mission académique\Pédagogie_Lycée\ES_Enseignement scientifique\Sujets_EC_Tle ES\Sujets\sujet-11 dec\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20624" cy="2753121"/>
                          </a:xfrm>
                          <a:prstGeom prst="rect">
                            <a:avLst/>
                          </a:prstGeom>
                        </pic:spPr>
                      </pic:pic>
                    </a:graphicData>
                  </a:graphic>
                </wp:inline>
              </w:drawing>
            </w:r>
          </w:p>
        </w:tc>
      </w:tr>
    </w:tbl>
    <w:p w:rsidR="005E5FC0" w:rsidRDefault="00DB51E6">
      <w:pPr>
        <w:spacing w:after="0" w:line="240" w:lineRule="auto"/>
      </w:pPr>
      <w:r>
        <w:br w:type="page"/>
      </w:r>
    </w:p>
    <w:p w:rsidR="00966EA8" w:rsidRDefault="00DB51E6" w:rsidP="005E5FC0">
      <w:pPr>
        <w:tabs>
          <w:tab w:val="left" w:pos="6048"/>
        </w:tabs>
        <w:spacing w:after="240"/>
        <w:jc w:val="both"/>
      </w:pPr>
    </w:p>
    <w:p w:rsidR="00A43F55" w:rsidRDefault="00DB51E6" w:rsidP="005E5FC0">
      <w:pPr>
        <w:tabs>
          <w:tab w:val="left" w:pos="6048"/>
        </w:tabs>
        <w:spacing w:after="240"/>
        <w:jc w:val="both"/>
      </w:pPr>
      <w:r>
        <w:rPr>
          <w:b/>
        </w:rPr>
        <w:t>2</w:t>
      </w:r>
      <w:r w:rsidRPr="001D30E1">
        <w:rPr>
          <w:b/>
        </w:rPr>
        <w:t>-</w:t>
      </w:r>
      <w:r>
        <w:t> </w:t>
      </w:r>
      <w:r>
        <w:t xml:space="preserve">À partir de l’analyse de la simulation présentée </w:t>
      </w:r>
      <w:r>
        <w:t>dans le document 2, montrer que la taille de la population joue un rôle dans l’évolution des fréquences alléliques au cours des générations.</w:t>
      </w:r>
    </w:p>
    <w:p w:rsidR="007B34E8" w:rsidRDefault="00DB51E6" w:rsidP="005E5FC0">
      <w:pPr>
        <w:tabs>
          <w:tab w:val="left" w:pos="6048"/>
        </w:tabs>
        <w:spacing w:after="240"/>
        <w:jc w:val="both"/>
      </w:pPr>
      <w:r>
        <w:rPr>
          <w:b/>
        </w:rPr>
        <w:t>3</w:t>
      </w:r>
      <w:r w:rsidRPr="001D30E1">
        <w:rPr>
          <w:b/>
        </w:rPr>
        <w:t>-</w:t>
      </w:r>
      <w:r>
        <w:t> </w:t>
      </w:r>
      <w:r>
        <w:t>D’après vos connaissances, indiquer quelle force évolutive est à l'œuvre dans l’évolution des fréquences alléliq</w:t>
      </w:r>
      <w:r>
        <w:t>ues pour une petite population de 10 individus. Justifier votre réponse.</w:t>
      </w:r>
    </w:p>
    <w:p w:rsidR="007B34E8" w:rsidRDefault="00DB51E6" w:rsidP="005E5FC0">
      <w:pPr>
        <w:tabs>
          <w:tab w:val="left" w:pos="6048"/>
        </w:tabs>
        <w:spacing w:after="240"/>
        <w:jc w:val="both"/>
        <w:rPr>
          <w:szCs w:val="22"/>
        </w:rPr>
      </w:pPr>
      <w:r w:rsidRPr="001D30E1">
        <w:rPr>
          <w:b/>
        </w:rPr>
        <w:t>4-</w:t>
      </w:r>
      <w:r>
        <w:t> </w:t>
      </w:r>
      <w:r>
        <w:t xml:space="preserve">À l’aide des documents 1 et 2 et des connaissances, rédiger un paragraphe argumenté reliant la déforestation d’origine anthropique au risque d’appauvrissement génétique des populations d’orangs-outans de Bornéo. </w:t>
      </w:r>
      <w:r w:rsidRPr="00F63135">
        <w:t xml:space="preserve">Proposer des mesures qui permettraient </w:t>
      </w:r>
      <w:r>
        <w:t>prior</w:t>
      </w:r>
      <w:r>
        <w:t xml:space="preserve">itairement </w:t>
      </w:r>
      <w:r w:rsidRPr="00F63135">
        <w:t xml:space="preserve">de </w:t>
      </w:r>
      <w:r>
        <w:t xml:space="preserve">protéger les </w:t>
      </w:r>
      <w:r w:rsidRPr="00F63135">
        <w:t>populations</w:t>
      </w:r>
      <w:r>
        <w:t xml:space="preserve"> d’orangs-outans et également de </w:t>
      </w:r>
      <w:r w:rsidRPr="00F63135">
        <w:t>conserver l</w:t>
      </w:r>
      <w:r>
        <w:t>eur</w:t>
      </w:r>
      <w:r w:rsidRPr="00F63135">
        <w:t xml:space="preserve"> diversité génétique.</w:t>
      </w:r>
      <w:r>
        <w:br w:type="page"/>
      </w:r>
    </w:p>
    <w:p w:rsidR="00BD4DB3" w:rsidRPr="00A77456" w:rsidRDefault="00DB51E6" w:rsidP="00BD4DB3">
      <w:pPr>
        <w:spacing w:after="80"/>
        <w:jc w:val="center"/>
        <w:rPr>
          <w:rFonts w:eastAsia="Arial" w:cs="Arial"/>
          <w:b/>
          <w:sz w:val="32"/>
        </w:rPr>
      </w:pPr>
      <w:r>
        <w:rPr>
          <w:rFonts w:eastAsia="Arial" w:cs="Arial"/>
          <w:b/>
          <w:sz w:val="32"/>
        </w:rPr>
        <w:lastRenderedPageBreak/>
        <w:t xml:space="preserve">Exercice 2 – </w:t>
      </w:r>
      <w:r w:rsidRPr="00A77456">
        <w:rPr>
          <w:rFonts w:eastAsia="Arial" w:cs="Arial"/>
          <w:b/>
          <w:i/>
          <w:sz w:val="28"/>
        </w:rPr>
        <w:t>Niveau terminale</w:t>
      </w:r>
    </w:p>
    <w:p w:rsidR="00BD4DB3" w:rsidRPr="00A77456" w:rsidRDefault="00DB51E6" w:rsidP="00BD4DB3">
      <w:pPr>
        <w:spacing w:after="240"/>
        <w:jc w:val="center"/>
        <w:rPr>
          <w:rFonts w:eastAsia="Arial" w:cs="Arial"/>
          <w:i/>
        </w:rPr>
      </w:pPr>
      <w:r w:rsidRPr="00A77456">
        <w:rPr>
          <w:rFonts w:eastAsia="Arial" w:cs="Arial"/>
          <w:i/>
        </w:rPr>
        <w:t>Thème « </w:t>
      </w:r>
      <w:r>
        <w:rPr>
          <w:rFonts w:eastAsia="Arial" w:cs="Arial"/>
          <w:i/>
        </w:rPr>
        <w:t>Science, climat et société »</w:t>
      </w:r>
    </w:p>
    <w:p w:rsidR="00BD4DB3" w:rsidRPr="00D87AD1" w:rsidRDefault="00DB51E6" w:rsidP="00BD4DB3">
      <w:pPr>
        <w:spacing w:after="120"/>
        <w:rPr>
          <w:b/>
          <w:sz w:val="22"/>
        </w:rPr>
      </w:pPr>
      <w:r>
        <w:rPr>
          <w:b/>
          <w:sz w:val="28"/>
        </w:rPr>
        <w:t>L’histoire du dioxygène terrestre</w:t>
      </w:r>
    </w:p>
    <w:p w:rsidR="00BD4DB3" w:rsidRPr="000E2C8B" w:rsidRDefault="00DB51E6" w:rsidP="00BD4DB3">
      <w:pPr>
        <w:spacing w:after="240"/>
        <w:rPr>
          <w:i/>
        </w:rPr>
      </w:pPr>
      <w:r w:rsidRPr="00D74F67">
        <w:rPr>
          <w:i/>
        </w:rPr>
        <w:t>Sur 10 points</w:t>
      </w:r>
    </w:p>
    <w:p w:rsidR="00B845D1" w:rsidRDefault="00DB51E6" w:rsidP="00105617">
      <w:pPr>
        <w:spacing w:after="120"/>
        <w:jc w:val="both"/>
        <w:rPr>
          <w:rFonts w:cs="Arial"/>
        </w:rPr>
      </w:pPr>
      <w:r>
        <w:rPr>
          <w:rFonts w:cs="Arial"/>
        </w:rPr>
        <w:t xml:space="preserve">L’atmosphère primitive de la </w:t>
      </w:r>
      <w:r>
        <w:rPr>
          <w:rFonts w:cs="Arial"/>
        </w:rPr>
        <w:t>Terre, issue du dégazage au cours du refroidissement de la Terre, était très différente de l’atmosphère actuelle. La transformation de l’atmosphère au cours du temps est marquée en particulier par un fort enrichissement en dioxygène, ce qui lui a conféré u</w:t>
      </w:r>
      <w:r>
        <w:rPr>
          <w:rFonts w:cs="Arial"/>
        </w:rPr>
        <w:t>n caractère oxydant.</w:t>
      </w:r>
      <w:r>
        <w:rPr>
          <w:rFonts w:cs="Arial"/>
        </w:rPr>
        <w:t xml:space="preserve"> </w:t>
      </w:r>
      <w:r>
        <w:rPr>
          <w:rFonts w:cs="Arial"/>
        </w:rPr>
        <w:t xml:space="preserve"> </w:t>
      </w:r>
    </w:p>
    <w:p w:rsidR="00B845D1" w:rsidRDefault="00DB51E6" w:rsidP="00105617">
      <w:pPr>
        <w:spacing w:after="360"/>
        <w:jc w:val="both"/>
        <w:rPr>
          <w:rFonts w:cs="Arial"/>
        </w:rPr>
      </w:pPr>
      <w:r>
        <w:rPr>
          <w:rFonts w:cs="Arial"/>
        </w:rPr>
        <w:t>L’objectif de cet exercice est de rechercher des arguments expliquant l’enrichissement de l’atmosphère en dioxygène, il y a 2,4 milliards d’années.</w:t>
      </w:r>
    </w:p>
    <w:tbl>
      <w:tblPr>
        <w:tblStyle w:val="Grilledutableau"/>
        <w:tblW w:w="0" w:type="auto"/>
        <w:jc w:val="center"/>
        <w:tblLook w:val="04A0" w:firstRow="1" w:lastRow="0" w:firstColumn="1" w:lastColumn="0" w:noHBand="0" w:noVBand="1"/>
      </w:tblPr>
      <w:tblGrid>
        <w:gridCol w:w="8924"/>
      </w:tblGrid>
      <w:tr w:rsidR="00B845D1" w:rsidTr="006C5A85">
        <w:trPr>
          <w:jc w:val="center"/>
        </w:trPr>
        <w:tc>
          <w:tcPr>
            <w:tcW w:w="8924" w:type="dxa"/>
          </w:tcPr>
          <w:p w:rsidR="00B845D1" w:rsidRPr="007B0B1F" w:rsidRDefault="00DB51E6" w:rsidP="00105617">
            <w:pPr>
              <w:spacing w:before="120" w:after="120"/>
              <w:jc w:val="both"/>
              <w:rPr>
                <w:rFonts w:cs="Arial"/>
                <w:b/>
              </w:rPr>
            </w:pPr>
            <w:r w:rsidRPr="007B0B1F">
              <w:rPr>
                <w:rFonts w:cs="Arial"/>
                <w:b/>
                <w:u w:val="single"/>
              </w:rPr>
              <w:t>Document 1</w:t>
            </w:r>
            <w:r w:rsidRPr="007B0B1F">
              <w:rPr>
                <w:rFonts w:cs="Arial"/>
                <w:b/>
              </w:rPr>
              <w:t xml:space="preserve"> : </w:t>
            </w:r>
            <w:r>
              <w:rPr>
                <w:rFonts w:cs="Arial"/>
                <w:b/>
              </w:rPr>
              <w:t>m</w:t>
            </w:r>
            <w:r w:rsidRPr="007B0B1F">
              <w:rPr>
                <w:rFonts w:cs="Arial"/>
                <w:b/>
              </w:rPr>
              <w:t>étabolisme des cyanobactéries actuelles</w:t>
            </w:r>
          </w:p>
          <w:p w:rsidR="00B845D1" w:rsidRDefault="00DB51E6" w:rsidP="00105617">
            <w:pPr>
              <w:jc w:val="both"/>
              <w:rPr>
                <w:rFonts w:cs="Arial"/>
              </w:rPr>
            </w:pPr>
            <w:r>
              <w:rPr>
                <w:rFonts w:cs="Arial"/>
              </w:rPr>
              <w:t xml:space="preserve">Une culture de cyanobactéries </w:t>
            </w:r>
            <w:r>
              <w:rPr>
                <w:rFonts w:cs="Arial"/>
              </w:rPr>
              <w:t>est placée dans une enceinte hermétique. Les teneurs en dioxygène et</w:t>
            </w:r>
            <w:r>
              <w:rPr>
                <w:rFonts w:cs="Arial"/>
                <w:highlight w:val="white"/>
              </w:rPr>
              <w:t xml:space="preserve"> en</w:t>
            </w:r>
            <w:r>
              <w:rPr>
                <w:rFonts w:cs="Arial"/>
              </w:rPr>
              <w:t xml:space="preserve"> dioxyde de carbone sont relevées </w:t>
            </w:r>
            <w:r>
              <w:rPr>
                <w:rFonts w:cs="Arial"/>
                <w:highlight w:val="white"/>
                <w:shd w:val="clear" w:color="auto" w:fill="FFFFFF" w:themeFill="background1"/>
              </w:rPr>
              <w:t>sous différentes</w:t>
            </w:r>
            <w:r>
              <w:rPr>
                <w:rFonts w:cs="Arial"/>
              </w:rPr>
              <w:t xml:space="preserve"> conditions d’éclairement. Les résultats sont présentés </w:t>
            </w:r>
            <w:r>
              <w:rPr>
                <w:rFonts w:cs="Arial"/>
                <w:highlight w:val="white"/>
              </w:rPr>
              <w:t>sur</w:t>
            </w:r>
            <w:r>
              <w:rPr>
                <w:rFonts w:cs="Arial"/>
              </w:rPr>
              <w:t xml:space="preserve"> le graphique ci-dessous.</w:t>
            </w:r>
          </w:p>
          <w:p w:rsidR="00B845D1" w:rsidRDefault="00DB51E6" w:rsidP="00105617">
            <w:pPr>
              <w:jc w:val="both"/>
              <w:rPr>
                <w:rFonts w:eastAsia="Times New Roman" w:cs="Arial"/>
                <w:u w:val="single"/>
              </w:rPr>
            </w:pPr>
            <w:r>
              <w:rPr>
                <w:rFonts w:eastAsia="Times New Roman" w:cs="Arial"/>
                <w:u w:val="single"/>
              </w:rPr>
              <w:t>Évolution des teneurs en dioxygène et dioxyde de c</w:t>
            </w:r>
            <w:r>
              <w:rPr>
                <w:rFonts w:eastAsia="Times New Roman" w:cs="Arial"/>
                <w:u w:val="single"/>
              </w:rPr>
              <w:t>arbone de la culture de cyanobactéries</w:t>
            </w:r>
          </w:p>
          <w:p w:rsidR="00B845D1" w:rsidRDefault="00DB51E6" w:rsidP="00105617">
            <w:pPr>
              <w:jc w:val="both"/>
              <w:rPr>
                <w:rFonts w:cs="Arial"/>
              </w:rPr>
            </w:pPr>
            <w:r>
              <w:rPr>
                <w:noProof/>
              </w:rPr>
              <w:drawing>
                <wp:inline distT="0" distB="0" distL="0" distR="0" wp14:anchorId="443901EB" wp14:editId="543552E6">
                  <wp:extent cx="5125720" cy="2543175"/>
                  <wp:effectExtent l="0" t="0" r="5080" b="0"/>
                  <wp:docPr id="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pic:cNvPicPr>
                        </pic:nvPicPr>
                        <pic:blipFill>
                          <a:blip r:embed="rId15">
                            <a:extLst>
                              <a:ext uri="{BEBA8EAE-BF5A-486C-A8C5-ECC9F3942E4B}">
                                <a14:imgProps xmlns:a14="http://schemas.microsoft.com/office/drawing/2010/main">
                                  <a14:imgLayer>
                                    <a14:imgEffect>
                                      <a14:sharpenSoften amount="50000"/>
                                    </a14:imgEffect>
                                  </a14:imgLayer>
                                </a14:imgProps>
                              </a:ext>
                              <a:ext uri="{28A0092B-C50C-407E-A947-70E740481C1C}">
                                <a14:useLocalDpi xmlns:a14="http://schemas.microsoft.com/office/drawing/2010/main" val="0"/>
                              </a:ext>
                            </a:extLst>
                          </a:blip>
                          <a:stretch/>
                        </pic:blipFill>
                        <pic:spPr bwMode="auto">
                          <a:xfrm>
                            <a:off x="0" y="0"/>
                            <a:ext cx="5125720" cy="2543175"/>
                          </a:xfrm>
                          <a:prstGeom prst="rect">
                            <a:avLst/>
                          </a:prstGeom>
                          <a:noFill/>
                          <a:ln>
                            <a:noFill/>
                          </a:ln>
                        </pic:spPr>
                      </pic:pic>
                    </a:graphicData>
                  </a:graphic>
                </wp:inline>
              </w:drawing>
            </w:r>
          </w:p>
        </w:tc>
      </w:tr>
    </w:tbl>
    <w:p w:rsidR="006C5A85" w:rsidRDefault="00DB51E6" w:rsidP="00105617">
      <w:pPr>
        <w:spacing w:after="120"/>
        <w:rPr>
          <w:u w:val="single"/>
        </w:rPr>
      </w:pPr>
    </w:p>
    <w:p w:rsidR="006C5A85" w:rsidRDefault="00DB51E6">
      <w:pPr>
        <w:spacing w:after="0" w:line="240" w:lineRule="auto"/>
        <w:rPr>
          <w:u w:val="single"/>
        </w:rPr>
      </w:pPr>
      <w:r>
        <w:rPr>
          <w:u w:val="single"/>
        </w:rPr>
        <w:br w:type="page"/>
      </w:r>
    </w:p>
    <w:p w:rsidR="00E92982" w:rsidRDefault="00DB51E6" w:rsidP="00105617">
      <w:pPr>
        <w:spacing w:after="120"/>
      </w:pPr>
      <w:r>
        <w:rPr>
          <w:u w:val="single"/>
        </w:rPr>
        <w:lastRenderedPageBreak/>
        <w:t>Données</w:t>
      </w:r>
      <w:r>
        <w:t> :</w:t>
      </w:r>
    </w:p>
    <w:p w:rsidR="00E92982" w:rsidRDefault="00DB51E6" w:rsidP="00105617">
      <w:pPr>
        <w:spacing w:after="120"/>
      </w:pPr>
      <w:r>
        <w:t>Il existe différents types de métabolismes, notamment :</w:t>
      </w:r>
    </w:p>
    <w:p w:rsidR="00E92982" w:rsidRDefault="00DB51E6" w:rsidP="00105617">
      <w:pPr>
        <w:spacing w:after="60"/>
        <w:ind w:firstLine="285"/>
      </w:pPr>
      <w:r>
        <w:t xml:space="preserve">• La respiration : </w:t>
      </w:r>
      <m:oMath>
        <m:r>
          <m:rPr>
            <m:sty m:val="p"/>
          </m:rPr>
          <w:rPr>
            <w:rFonts w:ascii="Cambria Math" w:hAnsi="Cambria Math"/>
          </w:rPr>
          <m:t xml:space="preserve">sucre + </m:t>
        </m:r>
        <m:sSub>
          <m:sSubPr>
            <m:ctrlPr>
              <w:rPr>
                <w:rFonts w:ascii="Cambria Math" w:hAnsi="Cambria Math"/>
              </w:rPr>
            </m:ctrlPr>
          </m:sSubPr>
          <m:e>
            <m:r>
              <m:rPr>
                <m:sty m:val="p"/>
              </m:rPr>
              <w:rPr>
                <w:rFonts w:ascii="Cambria Math" w:hAnsi="Cambria Math"/>
              </w:rPr>
              <m:t>O</m:t>
            </m:r>
          </m:e>
          <m:sub>
            <m:r>
              <m:rPr>
                <m:sty m:val="p"/>
              </m:rPr>
              <w:rPr>
                <w:rFonts w:ascii="Cambria Math" w:hAnsi="Cambria Math"/>
                <w:vertAlign w:val="subscript"/>
              </w:rPr>
              <m:t>2</m:t>
            </m:r>
          </m:sub>
        </m:sSub>
        <m:r>
          <m:rPr>
            <m:sty m:val="p"/>
          </m:rPr>
          <w:rPr>
            <w:rFonts w:ascii="Cambria Math" w:hAnsi="Cambria Math"/>
          </w:rPr>
          <m:t xml:space="preserve"> → </m:t>
        </m:r>
        <m:sSub>
          <m:sSubPr>
            <m:ctrlPr>
              <w:rPr>
                <w:rFonts w:ascii="Cambria Math" w:hAnsi="Cambria Math"/>
                <w:vertAlign w:val="subscript"/>
              </w:rPr>
            </m:ctrlPr>
          </m:sSubPr>
          <m:e>
            <m:r>
              <m:rPr>
                <m:sty m:val="p"/>
              </m:rPr>
              <w:rPr>
                <w:rFonts w:ascii="Cambria Math" w:hAnsi="Cambria Math"/>
              </w:rPr>
              <m:t>CO</m:t>
            </m:r>
          </m:e>
          <m:sub>
            <m:r>
              <m:rPr>
                <m:sty m:val="p"/>
              </m:rPr>
              <w:rPr>
                <w:rFonts w:ascii="Cambria Math" w:hAnsi="Cambria Math"/>
                <w:vertAlign w:val="subscript"/>
              </w:rPr>
              <m:t>2</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H</m:t>
            </m:r>
          </m:e>
          <m:sub>
            <m:r>
              <m:rPr>
                <m:sty m:val="p"/>
              </m:rPr>
              <w:rPr>
                <w:rFonts w:ascii="Cambria Math" w:hAnsi="Cambria Math"/>
                <w:vertAlign w:val="subscript"/>
              </w:rPr>
              <m:t>2</m:t>
            </m:r>
          </m:sub>
        </m:sSub>
        <m:r>
          <m:rPr>
            <m:sty m:val="p"/>
          </m:rPr>
          <w:rPr>
            <w:rFonts w:ascii="Cambria Math" w:hAnsi="Cambria Math"/>
          </w:rPr>
          <m:t>O</m:t>
        </m:r>
      </m:oMath>
    </w:p>
    <w:p w:rsidR="00E92982" w:rsidRDefault="00DB51E6" w:rsidP="00105617">
      <w:pPr>
        <w:spacing w:after="60"/>
        <w:ind w:firstLine="285"/>
      </w:pPr>
      <w:r>
        <w:t xml:space="preserve">• La photosynthèse : </w:t>
      </w:r>
      <m:oMath>
        <m:r>
          <m:rPr>
            <m:sty m:val="p"/>
          </m:rPr>
          <w:rPr>
            <w:rFonts w:ascii="Cambria Math" w:hAnsi="Cambria Math"/>
          </w:rPr>
          <m:t>C</m:t>
        </m:r>
        <m:sSub>
          <m:sSubPr>
            <m:ctrlPr>
              <w:rPr>
                <w:rFonts w:ascii="Cambria Math" w:hAnsi="Cambria Math"/>
              </w:rPr>
            </m:ctrlPr>
          </m:sSubPr>
          <m:e>
            <m:r>
              <m:rPr>
                <m:sty m:val="p"/>
              </m:rPr>
              <w:rPr>
                <w:rFonts w:ascii="Cambria Math" w:hAnsi="Cambria Math"/>
              </w:rPr>
              <m:t>O</m:t>
            </m:r>
          </m:e>
          <m:sub>
            <m:r>
              <m:rPr>
                <m:sty m:val="p"/>
              </m:rPr>
              <w:rPr>
                <w:rFonts w:ascii="Cambria Math" w:hAnsi="Cambria Math"/>
                <w:vertAlign w:val="subscript"/>
              </w:rPr>
              <m:t>2</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H</m:t>
            </m:r>
          </m:e>
          <m:sub>
            <m:r>
              <m:rPr>
                <m:sty m:val="p"/>
              </m:rPr>
              <w:rPr>
                <w:rFonts w:ascii="Cambria Math" w:hAnsi="Cambria Math"/>
                <w:vertAlign w:val="subscript"/>
              </w:rPr>
              <m:t>2</m:t>
            </m:r>
          </m:sub>
        </m:sSub>
        <m:r>
          <m:rPr>
            <m:sty m:val="p"/>
          </m:rPr>
          <w:rPr>
            <w:rFonts w:ascii="Cambria Math" w:hAnsi="Cambria Math"/>
          </w:rPr>
          <m:t xml:space="preserve">O en présence de lumière → sucre + </m:t>
        </m:r>
        <m:sSub>
          <m:sSubPr>
            <m:ctrlPr>
              <w:rPr>
                <w:rFonts w:ascii="Cambria Math" w:hAnsi="Cambria Math"/>
              </w:rPr>
            </m:ctrlPr>
          </m:sSubPr>
          <m:e>
            <m:r>
              <m:rPr>
                <m:sty m:val="p"/>
              </m:rPr>
              <w:rPr>
                <w:rFonts w:ascii="Cambria Math" w:hAnsi="Cambria Math"/>
              </w:rPr>
              <m:t>O</m:t>
            </m:r>
          </m:e>
          <m:sub>
            <m:r>
              <m:rPr>
                <m:sty m:val="p"/>
              </m:rPr>
              <w:rPr>
                <w:rFonts w:ascii="Cambria Math" w:hAnsi="Cambria Math"/>
                <w:vertAlign w:val="subscript"/>
              </w:rPr>
              <m:t>2</m:t>
            </m:r>
          </m:sub>
        </m:sSub>
      </m:oMath>
    </w:p>
    <w:p w:rsidR="00E92982" w:rsidRDefault="00DB51E6" w:rsidP="00105617">
      <w:pPr>
        <w:spacing w:after="120"/>
        <w:ind w:firstLine="285"/>
      </w:pPr>
      <w:r>
        <w:t xml:space="preserve">• La fermentation alcoolique : </w:t>
      </w:r>
      <m:oMath>
        <m:r>
          <m:rPr>
            <m:sty m:val="p"/>
          </m:rPr>
          <w:rPr>
            <w:rFonts w:ascii="Cambria Math" w:hAnsi="Cambria Math"/>
          </w:rPr>
          <m:t>sucre → C</m:t>
        </m:r>
        <m:sSub>
          <m:sSubPr>
            <m:ctrlPr>
              <w:rPr>
                <w:rFonts w:ascii="Cambria Math" w:hAnsi="Cambria Math"/>
              </w:rPr>
            </m:ctrlPr>
          </m:sSubPr>
          <m:e>
            <m:r>
              <m:rPr>
                <m:sty m:val="p"/>
              </m:rPr>
              <w:rPr>
                <w:rFonts w:ascii="Cambria Math" w:hAnsi="Cambria Math"/>
              </w:rPr>
              <m:t>O</m:t>
            </m:r>
          </m:e>
          <m:sub>
            <m:r>
              <m:rPr>
                <m:sty m:val="p"/>
              </m:rPr>
              <w:rPr>
                <w:rFonts w:ascii="Cambria Math" w:hAnsi="Cambria Math"/>
                <w:vertAlign w:val="subscript"/>
              </w:rPr>
              <m:t>2</m:t>
            </m:r>
          </m:sub>
        </m:sSub>
        <m:r>
          <m:rPr>
            <m:sty m:val="p"/>
          </m:rPr>
          <w:rPr>
            <w:rFonts w:ascii="Cambria Math" w:hAnsi="Cambria Math"/>
          </w:rPr>
          <m:t>+ éthanol</m:t>
        </m:r>
      </m:oMath>
    </w:p>
    <w:p w:rsidR="00E92982" w:rsidRPr="00E92982" w:rsidRDefault="00DB51E6" w:rsidP="00105617">
      <w:pPr>
        <w:jc w:val="both"/>
        <w:rPr>
          <w:szCs w:val="21"/>
        </w:rPr>
      </w:pPr>
      <w:r w:rsidRPr="00E92982">
        <w:rPr>
          <w:szCs w:val="21"/>
        </w:rPr>
        <w:t>Les réactions ne sont pas ajustées, elles indiquent seulement la nature des réactifs et des produits.</w:t>
      </w:r>
    </w:p>
    <w:p w:rsidR="007B0B1F" w:rsidRDefault="00DB51E6" w:rsidP="00105617">
      <w:pPr>
        <w:spacing w:before="360" w:after="240"/>
        <w:jc w:val="both"/>
      </w:pPr>
      <w:r>
        <w:rPr>
          <w:b/>
        </w:rPr>
        <w:t>1-</w:t>
      </w:r>
      <w:r>
        <w:t xml:space="preserve"> À l’aide du document 1, donner, en le justifiant, le nom du métabolisme utilisé par les cyanobactéries, dans l’expérience, entre 0</w:t>
      </w:r>
      <w:r>
        <w:t xml:space="preserve"> et 5 minutes puis entre 5 et 10 minutes.</w:t>
      </w:r>
    </w:p>
    <w:p w:rsidR="00B845D1" w:rsidRDefault="00DB51E6" w:rsidP="00105617">
      <w:pPr>
        <w:spacing w:after="360"/>
        <w:jc w:val="both"/>
      </w:pPr>
      <w:r>
        <w:rPr>
          <w:b/>
        </w:rPr>
        <w:t>2-</w:t>
      </w:r>
      <w:r>
        <w:t xml:space="preserve"> Les stromatolithes sont des constructions carbonatées d’origine biologique formées par des micro-organismes, dont les cyanobactéries. Les plus anciens ont été datés à environ 3,5 milliards d’années. À partir du </w:t>
      </w:r>
      <w:r>
        <w:t>document 1 et des connaissances, justifier l’origine de la production de dioxygène à partir de 3,5 milliards d’années.</w:t>
      </w:r>
    </w:p>
    <w:tbl>
      <w:tblPr>
        <w:tblStyle w:val="Grilledutableau"/>
        <w:tblW w:w="0" w:type="auto"/>
        <w:jc w:val="center"/>
        <w:tblLook w:val="04A0" w:firstRow="1" w:lastRow="0" w:firstColumn="1" w:lastColumn="0" w:noHBand="0" w:noVBand="1"/>
      </w:tblPr>
      <w:tblGrid>
        <w:gridCol w:w="9060"/>
      </w:tblGrid>
      <w:tr w:rsidR="00B845D1" w:rsidTr="00105617">
        <w:trPr>
          <w:trHeight w:val="5595"/>
          <w:jc w:val="center"/>
        </w:trPr>
        <w:tc>
          <w:tcPr>
            <w:tcW w:w="9060" w:type="dxa"/>
          </w:tcPr>
          <w:p w:rsidR="00B845D1" w:rsidRPr="00DF7FF2" w:rsidRDefault="00DB51E6" w:rsidP="00105617">
            <w:pPr>
              <w:spacing w:before="120" w:after="120"/>
              <w:jc w:val="both"/>
              <w:rPr>
                <w:b/>
              </w:rPr>
            </w:pPr>
            <w:r w:rsidRPr="00DF7FF2">
              <w:rPr>
                <w:b/>
                <w:u w:val="single"/>
              </w:rPr>
              <w:t>Document 2</w:t>
            </w:r>
            <w:r w:rsidRPr="00DF7FF2">
              <w:rPr>
                <w:b/>
              </w:rPr>
              <w:t xml:space="preserve"> : les </w:t>
            </w:r>
            <w:r>
              <w:rPr>
                <w:b/>
              </w:rPr>
              <w:t>f</w:t>
            </w:r>
            <w:r w:rsidRPr="00DF7FF2">
              <w:rPr>
                <w:b/>
              </w:rPr>
              <w:t>ormations sédimentaires d’oxydes de fer</w:t>
            </w:r>
          </w:p>
          <w:p w:rsidR="00B845D1" w:rsidRDefault="00DB51E6" w:rsidP="00105617">
            <w:pPr>
              <w:spacing w:after="120"/>
              <w:jc w:val="both"/>
            </w:pPr>
            <w:r>
              <w:t>La grande majorité des minerais de fer du monde est constituée de ce qu'on appe</w:t>
            </w:r>
            <w:r>
              <w:t>lle des fers rubanés (</w:t>
            </w:r>
            <w:r>
              <w:rPr>
                <w:i/>
                <w:iCs/>
              </w:rPr>
              <w:t>Banded Iron Formation</w:t>
            </w:r>
            <w:r>
              <w:t xml:space="preserve"> ou BIF, en anglais). Ces BIF existent sous plusieurs formes, plus ou moins ferrugineuses, et contiennent un oxyde de fer composé de deux atomes de fer et de trois atomes d’oxygène.</w:t>
            </w:r>
          </w:p>
          <w:p w:rsidR="00B845D1" w:rsidRDefault="00DB51E6" w:rsidP="00105617">
            <w:pPr>
              <w:pStyle w:val="NormalWeb"/>
              <w:spacing w:before="0" w:beforeAutospacing="0" w:after="120" w:afterAutospacing="0"/>
              <w:rPr>
                <w:rFonts w:ascii="Arial" w:hAnsi="Arial" w:cs="Arial"/>
              </w:rPr>
            </w:pPr>
            <w:r>
              <w:rPr>
                <w:rFonts w:ascii="Arial" w:hAnsi="Arial" w:cs="Arial"/>
              </w:rPr>
              <w:t xml:space="preserve">Le tableau </w:t>
            </w:r>
            <w:r>
              <w:rPr>
                <w:rFonts w:ascii="Arial" w:hAnsi="Arial" w:cs="Arial"/>
                <w:highlight w:val="white"/>
              </w:rPr>
              <w:t>ci-dessous</w:t>
            </w:r>
            <w:r>
              <w:rPr>
                <w:rFonts w:ascii="Arial" w:hAnsi="Arial" w:cs="Arial"/>
              </w:rPr>
              <w:t xml:space="preserve"> présente </w:t>
            </w:r>
            <w:r>
              <w:rPr>
                <w:rFonts w:ascii="Arial" w:hAnsi="Arial" w:cs="Arial"/>
              </w:rPr>
              <w:t>différents oxydes de fer :</w:t>
            </w:r>
          </w:p>
          <w:tbl>
            <w:tblPr>
              <w:tblStyle w:val="Grilledutableau"/>
              <w:tblW w:w="0" w:type="auto"/>
              <w:jc w:val="center"/>
              <w:tblLook w:val="04A0" w:firstRow="1" w:lastRow="0" w:firstColumn="1" w:lastColumn="0" w:noHBand="0" w:noVBand="1"/>
            </w:tblPr>
            <w:tblGrid>
              <w:gridCol w:w="1303"/>
              <w:gridCol w:w="1701"/>
              <w:gridCol w:w="1984"/>
              <w:gridCol w:w="2693"/>
            </w:tblGrid>
            <w:tr w:rsidR="00B845D1" w:rsidTr="00E92982">
              <w:trPr>
                <w:jc w:val="center"/>
              </w:trPr>
              <w:tc>
                <w:tcPr>
                  <w:tcW w:w="1303" w:type="dxa"/>
                  <w:vAlign w:val="center"/>
                </w:tcPr>
                <w:p w:rsidR="00B845D1" w:rsidRDefault="00DB51E6" w:rsidP="00105617">
                  <w:pPr>
                    <w:spacing w:before="60" w:after="60"/>
                    <w:jc w:val="center"/>
                  </w:pPr>
                  <w:r>
                    <w:t>Oxyde de fer</w:t>
                  </w:r>
                </w:p>
              </w:tc>
              <w:tc>
                <w:tcPr>
                  <w:tcW w:w="1701" w:type="dxa"/>
                  <w:vAlign w:val="center"/>
                </w:tcPr>
                <w:p w:rsidR="00B845D1" w:rsidRDefault="00DB51E6" w:rsidP="00105617">
                  <w:pPr>
                    <w:spacing w:before="60" w:after="60"/>
                    <w:jc w:val="center"/>
                  </w:pPr>
                  <w:r>
                    <w:t>Formule brute</w:t>
                  </w:r>
                </w:p>
              </w:tc>
              <w:tc>
                <w:tcPr>
                  <w:tcW w:w="1984" w:type="dxa"/>
                  <w:vAlign w:val="center"/>
                </w:tcPr>
                <w:p w:rsidR="00B845D1" w:rsidRDefault="00DB51E6" w:rsidP="00105617">
                  <w:pPr>
                    <w:spacing w:before="60" w:after="60"/>
                    <w:jc w:val="center"/>
                  </w:pPr>
                  <w:r>
                    <w:t>Description</w:t>
                  </w:r>
                </w:p>
              </w:tc>
              <w:tc>
                <w:tcPr>
                  <w:tcW w:w="2693" w:type="dxa"/>
                  <w:vAlign w:val="center"/>
                </w:tcPr>
                <w:p w:rsidR="00B845D1" w:rsidRDefault="00DB51E6" w:rsidP="00105617">
                  <w:pPr>
                    <w:spacing w:before="60" w:after="60"/>
                    <w:jc w:val="center"/>
                  </w:pPr>
                  <w:r>
                    <w:t xml:space="preserve">Équation chimique de formation </w:t>
                  </w:r>
                  <w:r>
                    <w:rPr>
                      <w:highlight w:val="white"/>
                    </w:rPr>
                    <w:t>de l’oxyde de fer</w:t>
                  </w:r>
                  <w:r>
                    <w:t>, non ajustée</w:t>
                  </w:r>
                </w:p>
              </w:tc>
            </w:tr>
            <w:tr w:rsidR="00B845D1" w:rsidTr="0056151C">
              <w:trPr>
                <w:trHeight w:val="678"/>
                <w:jc w:val="center"/>
              </w:trPr>
              <w:tc>
                <w:tcPr>
                  <w:tcW w:w="1303" w:type="dxa"/>
                  <w:vAlign w:val="center"/>
                </w:tcPr>
                <w:p w:rsidR="00B845D1" w:rsidRDefault="00DB51E6" w:rsidP="00105617">
                  <w:pPr>
                    <w:spacing w:before="60" w:after="60"/>
                    <w:jc w:val="center"/>
                  </w:pPr>
                  <w:r>
                    <w:t>Wustite</w:t>
                  </w:r>
                </w:p>
              </w:tc>
              <w:tc>
                <w:tcPr>
                  <w:tcW w:w="1701" w:type="dxa"/>
                  <w:vAlign w:val="center"/>
                </w:tcPr>
                <w:p w:rsidR="00B845D1" w:rsidRPr="00B47979" w:rsidRDefault="00DB51E6" w:rsidP="00105617">
                  <w:pPr>
                    <w:spacing w:before="60" w:after="60"/>
                    <w:jc w:val="center"/>
                  </w:pPr>
                  <m:oMathPara>
                    <m:oMath>
                      <m:r>
                        <m:rPr>
                          <m:sty m:val="p"/>
                        </m:rPr>
                        <w:rPr>
                          <w:rFonts w:ascii="Cambria Math" w:hAnsi="Cambria Math" w:cs="Calibri"/>
                        </w:rPr>
                        <m:t>FeO</m:t>
                      </m:r>
                    </m:oMath>
                  </m:oMathPara>
                </w:p>
              </w:tc>
              <w:tc>
                <w:tcPr>
                  <w:tcW w:w="1984" w:type="dxa"/>
                  <w:vAlign w:val="center"/>
                </w:tcPr>
                <w:p w:rsidR="00B845D1" w:rsidRDefault="00DB51E6" w:rsidP="00105617">
                  <w:pPr>
                    <w:spacing w:before="60" w:after="60"/>
                    <w:jc w:val="center"/>
                  </w:pPr>
                  <w:r>
                    <w:t>Poudre grise</w:t>
                  </w:r>
                </w:p>
              </w:tc>
              <w:tc>
                <w:tcPr>
                  <w:tcW w:w="2693" w:type="dxa"/>
                  <w:vAlign w:val="center"/>
                </w:tcPr>
                <w:p w:rsidR="00B845D1" w:rsidRPr="00B47979" w:rsidRDefault="00DB51E6" w:rsidP="00105617">
                  <w:pPr>
                    <w:spacing w:before="60" w:after="60"/>
                    <w:jc w:val="center"/>
                  </w:pPr>
                  <m:oMathPara>
                    <m:oMath>
                      <m:r>
                        <m:rPr>
                          <m:sty m:val="p"/>
                        </m:rPr>
                        <w:rPr>
                          <w:rFonts w:ascii="Cambria Math" w:hAnsi="Cambria Math" w:cs="Calibri"/>
                        </w:rPr>
                        <m:t xml:space="preserve">Fe + </m:t>
                      </m:r>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2</m:t>
                          </m:r>
                        </m:sub>
                      </m:sSub>
                      <m:r>
                        <m:rPr>
                          <m:sty m:val="p"/>
                        </m:rPr>
                        <w:rPr>
                          <w:rFonts w:ascii="Cambria Math" w:hAnsi="Cambria Math" w:cs="Calibri"/>
                        </w:rPr>
                        <m:t xml:space="preserve"> →FeO</m:t>
                      </m:r>
                    </m:oMath>
                  </m:oMathPara>
                </w:p>
              </w:tc>
            </w:tr>
            <w:tr w:rsidR="00B845D1" w:rsidTr="00E92982">
              <w:trPr>
                <w:jc w:val="center"/>
              </w:trPr>
              <w:tc>
                <w:tcPr>
                  <w:tcW w:w="1303" w:type="dxa"/>
                  <w:tcBorders>
                    <w:bottom w:val="single" w:sz="4" w:space="0" w:color="auto"/>
                  </w:tcBorders>
                  <w:vAlign w:val="center"/>
                </w:tcPr>
                <w:p w:rsidR="00B845D1" w:rsidRDefault="00DB51E6" w:rsidP="00105617">
                  <w:pPr>
                    <w:spacing w:before="60" w:after="60"/>
                    <w:jc w:val="center"/>
                  </w:pPr>
                  <w:r>
                    <w:t>Hématite</w:t>
                  </w:r>
                </w:p>
              </w:tc>
              <w:tc>
                <w:tcPr>
                  <w:tcW w:w="1701" w:type="dxa"/>
                  <w:tcBorders>
                    <w:bottom w:val="single" w:sz="4" w:space="0" w:color="auto"/>
                  </w:tcBorders>
                  <w:vAlign w:val="center"/>
                </w:tcPr>
                <w:p w:rsidR="00B845D1" w:rsidRPr="00B47979" w:rsidRDefault="00DB51E6" w:rsidP="00105617">
                  <w:pPr>
                    <w:spacing w:before="60" w:after="60"/>
                    <w:jc w:val="center"/>
                    <w:rPr>
                      <w:vertAlign w:val="subscript"/>
                    </w:rPr>
                  </w:pPr>
                  <m:oMathPara>
                    <m:oMath>
                      <m:sSub>
                        <m:sSubPr>
                          <m:ctrlPr>
                            <w:rPr>
                              <w:rFonts w:ascii="Cambria Math" w:hAnsi="Cambria Math" w:cs="Calibri"/>
                            </w:rPr>
                          </m:ctrlPr>
                        </m:sSubPr>
                        <m:e>
                          <m:r>
                            <m:rPr>
                              <m:sty m:val="p"/>
                            </m:rPr>
                            <w:rPr>
                              <w:rFonts w:ascii="Cambria Math" w:hAnsi="Cambria Math" w:cs="Calibri"/>
                            </w:rPr>
                            <m:t>Fe</m:t>
                          </m:r>
                        </m:e>
                        <m:sub>
                          <m:r>
                            <m:rPr>
                              <m:sty m:val="p"/>
                            </m:rPr>
                            <w:rPr>
                              <w:rFonts w:ascii="Cambria Math" w:hAnsi="Cambria Math" w:cs="Calibri"/>
                            </w:rPr>
                            <m:t>2</m:t>
                          </m:r>
                        </m:sub>
                      </m:sSub>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rPr>
                            <m:t>3</m:t>
                          </m:r>
                        </m:sub>
                      </m:sSub>
                    </m:oMath>
                  </m:oMathPara>
                </w:p>
              </w:tc>
              <w:tc>
                <w:tcPr>
                  <w:tcW w:w="1984" w:type="dxa"/>
                  <w:tcBorders>
                    <w:bottom w:val="single" w:sz="4" w:space="0" w:color="auto"/>
                  </w:tcBorders>
                  <w:vAlign w:val="center"/>
                </w:tcPr>
                <w:p w:rsidR="00B845D1" w:rsidRDefault="00DB51E6" w:rsidP="00105617">
                  <w:pPr>
                    <w:spacing w:before="60" w:after="60"/>
                    <w:jc w:val="center"/>
                  </w:pPr>
                  <w:r>
                    <w:t>Minéral de couleur rouille</w:t>
                  </w:r>
                </w:p>
              </w:tc>
              <w:tc>
                <w:tcPr>
                  <w:tcW w:w="2693" w:type="dxa"/>
                  <w:tcBorders>
                    <w:bottom w:val="single" w:sz="4" w:space="0" w:color="auto"/>
                  </w:tcBorders>
                  <w:vAlign w:val="center"/>
                </w:tcPr>
                <w:p w:rsidR="00B845D1" w:rsidRPr="00B47979" w:rsidRDefault="00DB51E6" w:rsidP="00105617">
                  <w:pPr>
                    <w:spacing w:before="60" w:after="60"/>
                    <w:jc w:val="center"/>
                  </w:pPr>
                  <m:oMathPara>
                    <m:oMath>
                      <m:r>
                        <m:rPr>
                          <m:sty m:val="p"/>
                        </m:rPr>
                        <w:rPr>
                          <w:rFonts w:ascii="Cambria Math" w:hAnsi="Cambria Math" w:cs="Calibri"/>
                        </w:rPr>
                        <m:t xml:space="preserve">Fe + </m:t>
                      </m:r>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2</m:t>
                          </m:r>
                        </m:sub>
                      </m:sSub>
                      <m:r>
                        <m:rPr>
                          <m:sty m:val="p"/>
                        </m:rPr>
                        <w:rPr>
                          <w:rFonts w:ascii="Cambria Math" w:hAnsi="Cambria Math" w:cs="Calibri"/>
                        </w:rPr>
                        <m:t xml:space="preserve"> →</m:t>
                      </m:r>
                      <m:sSub>
                        <m:sSubPr>
                          <m:ctrlPr>
                            <w:rPr>
                              <w:rFonts w:ascii="Cambria Math" w:hAnsi="Cambria Math" w:cs="Calibri"/>
                            </w:rPr>
                          </m:ctrlPr>
                        </m:sSubPr>
                        <m:e>
                          <m:r>
                            <m:rPr>
                              <m:sty m:val="p"/>
                            </m:rPr>
                            <w:rPr>
                              <w:rFonts w:ascii="Cambria Math" w:hAnsi="Cambria Math" w:cs="Calibri"/>
                            </w:rPr>
                            <m:t>Fe</m:t>
                          </m:r>
                        </m:e>
                        <m:sub>
                          <m:r>
                            <m:rPr>
                              <m:sty m:val="p"/>
                            </m:rPr>
                            <w:rPr>
                              <w:rFonts w:ascii="Cambria Math" w:hAnsi="Cambria Math" w:cs="Calibri"/>
                            </w:rPr>
                            <m:t>2</m:t>
                          </m:r>
                        </m:sub>
                      </m:sSub>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rPr>
                            <m:t>3</m:t>
                          </m:r>
                        </m:sub>
                      </m:sSub>
                    </m:oMath>
                  </m:oMathPara>
                </w:p>
              </w:tc>
            </w:tr>
            <w:tr w:rsidR="00B845D1" w:rsidTr="00E92982">
              <w:trPr>
                <w:jc w:val="center"/>
              </w:trPr>
              <w:tc>
                <w:tcPr>
                  <w:tcW w:w="1303" w:type="dxa"/>
                  <w:tcBorders>
                    <w:top w:val="single" w:sz="4" w:space="0" w:color="auto"/>
                    <w:left w:val="single" w:sz="4" w:space="0" w:color="auto"/>
                    <w:bottom w:val="single" w:sz="4" w:space="0" w:color="auto"/>
                    <w:right w:val="single" w:sz="4" w:space="0" w:color="auto"/>
                  </w:tcBorders>
                  <w:vAlign w:val="center"/>
                </w:tcPr>
                <w:p w:rsidR="00B845D1" w:rsidRDefault="00DB51E6" w:rsidP="00105617">
                  <w:pPr>
                    <w:spacing w:before="60" w:after="60"/>
                    <w:jc w:val="center"/>
                  </w:pPr>
                  <w:r>
                    <w:t>Magnétite</w:t>
                  </w:r>
                </w:p>
              </w:tc>
              <w:tc>
                <w:tcPr>
                  <w:tcW w:w="1701" w:type="dxa"/>
                  <w:tcBorders>
                    <w:top w:val="single" w:sz="4" w:space="0" w:color="auto"/>
                    <w:left w:val="single" w:sz="4" w:space="0" w:color="auto"/>
                    <w:bottom w:val="single" w:sz="4" w:space="0" w:color="auto"/>
                    <w:right w:val="single" w:sz="4" w:space="0" w:color="auto"/>
                  </w:tcBorders>
                  <w:vAlign w:val="center"/>
                </w:tcPr>
                <w:p w:rsidR="00B845D1" w:rsidRPr="00B47979" w:rsidRDefault="00DB51E6" w:rsidP="00105617">
                  <w:pPr>
                    <w:spacing w:before="60" w:after="60"/>
                    <w:jc w:val="center"/>
                    <w:rPr>
                      <w:vertAlign w:val="subscript"/>
                    </w:rPr>
                  </w:pPr>
                  <m:oMathPara>
                    <m:oMath>
                      <m:sSub>
                        <m:sSubPr>
                          <m:ctrlPr>
                            <w:rPr>
                              <w:rFonts w:ascii="Cambria Math" w:hAnsi="Cambria Math" w:cs="Calibri"/>
                            </w:rPr>
                          </m:ctrlPr>
                        </m:sSubPr>
                        <m:e>
                          <m:r>
                            <m:rPr>
                              <m:sty m:val="p"/>
                            </m:rPr>
                            <w:rPr>
                              <w:rFonts w:ascii="Cambria Math" w:hAnsi="Cambria Math" w:cs="Calibri"/>
                            </w:rPr>
                            <m:t>Fe</m:t>
                          </m:r>
                        </m:e>
                        <m:sub>
                          <m:r>
                            <m:rPr>
                              <m:sty m:val="p"/>
                            </m:rPr>
                            <w:rPr>
                              <w:rFonts w:ascii="Cambria Math" w:hAnsi="Cambria Math" w:cs="Calibri"/>
                              <w:vertAlign w:val="subscript"/>
                            </w:rPr>
                            <m:t>3</m:t>
                          </m:r>
                        </m:sub>
                      </m:sSub>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4</m:t>
                          </m:r>
                        </m:sub>
                      </m:sSub>
                    </m:oMath>
                  </m:oMathPara>
                </w:p>
              </w:tc>
              <w:tc>
                <w:tcPr>
                  <w:tcW w:w="1984" w:type="dxa"/>
                  <w:tcBorders>
                    <w:top w:val="single" w:sz="4" w:space="0" w:color="auto"/>
                    <w:left w:val="single" w:sz="4" w:space="0" w:color="auto"/>
                    <w:bottom w:val="single" w:sz="4" w:space="0" w:color="auto"/>
                    <w:right w:val="single" w:sz="4" w:space="0" w:color="auto"/>
                  </w:tcBorders>
                  <w:vAlign w:val="center"/>
                </w:tcPr>
                <w:p w:rsidR="00B845D1" w:rsidRDefault="00DB51E6" w:rsidP="00105617">
                  <w:pPr>
                    <w:spacing w:before="60" w:after="60"/>
                    <w:jc w:val="center"/>
                  </w:pPr>
                  <w:r>
                    <w:t xml:space="preserve">Minéral de </w:t>
                  </w:r>
                  <w:r>
                    <w:t>couleur noire</w:t>
                  </w:r>
                </w:p>
              </w:tc>
              <w:tc>
                <w:tcPr>
                  <w:tcW w:w="2693" w:type="dxa"/>
                  <w:tcBorders>
                    <w:top w:val="single" w:sz="4" w:space="0" w:color="auto"/>
                    <w:left w:val="single" w:sz="4" w:space="0" w:color="auto"/>
                    <w:bottom w:val="single" w:sz="4" w:space="0" w:color="auto"/>
                    <w:right w:val="single" w:sz="4" w:space="0" w:color="auto"/>
                  </w:tcBorders>
                  <w:vAlign w:val="center"/>
                </w:tcPr>
                <w:p w:rsidR="00B845D1" w:rsidRPr="00B47979" w:rsidRDefault="00DB51E6" w:rsidP="00105617">
                  <w:pPr>
                    <w:spacing w:before="60" w:after="60"/>
                    <w:jc w:val="center"/>
                  </w:pPr>
                  <m:oMathPara>
                    <m:oMath>
                      <m:r>
                        <m:rPr>
                          <m:sty m:val="p"/>
                        </m:rPr>
                        <w:rPr>
                          <w:rFonts w:ascii="Cambria Math" w:hAnsi="Cambria Math" w:cs="Calibri"/>
                        </w:rPr>
                        <m:t xml:space="preserve">Fe + </m:t>
                      </m:r>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2</m:t>
                          </m:r>
                        </m:sub>
                      </m:sSub>
                      <m:r>
                        <m:rPr>
                          <m:sty m:val="p"/>
                        </m:rPr>
                        <w:rPr>
                          <w:rFonts w:ascii="Cambria Math" w:hAnsi="Cambria Math" w:cs="Calibri"/>
                        </w:rPr>
                        <m:t xml:space="preserve"> →</m:t>
                      </m:r>
                      <m:sSub>
                        <m:sSubPr>
                          <m:ctrlPr>
                            <w:rPr>
                              <w:rFonts w:ascii="Cambria Math" w:hAnsi="Cambria Math" w:cs="Calibri"/>
                            </w:rPr>
                          </m:ctrlPr>
                        </m:sSubPr>
                        <m:e>
                          <m:r>
                            <m:rPr>
                              <m:sty m:val="p"/>
                            </m:rPr>
                            <w:rPr>
                              <w:rFonts w:ascii="Cambria Math" w:hAnsi="Cambria Math" w:cs="Calibri"/>
                            </w:rPr>
                            <m:t>Fe</m:t>
                          </m:r>
                        </m:e>
                        <m:sub>
                          <m:r>
                            <m:rPr>
                              <m:sty m:val="p"/>
                            </m:rPr>
                            <w:rPr>
                              <w:rFonts w:ascii="Cambria Math" w:hAnsi="Cambria Math" w:cs="Calibri"/>
                              <w:vertAlign w:val="subscript"/>
                            </w:rPr>
                            <m:t>3</m:t>
                          </m:r>
                        </m:sub>
                      </m:sSub>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4</m:t>
                          </m:r>
                        </m:sub>
                      </m:sSub>
                    </m:oMath>
                  </m:oMathPara>
                </w:p>
              </w:tc>
            </w:tr>
          </w:tbl>
          <w:p w:rsidR="00B845D1" w:rsidRDefault="00DB51E6" w:rsidP="00105617">
            <w:pPr>
              <w:jc w:val="both"/>
            </w:pPr>
          </w:p>
        </w:tc>
      </w:tr>
    </w:tbl>
    <w:p w:rsidR="00B845D1" w:rsidRDefault="00DB51E6" w:rsidP="006C5A85">
      <w:pPr>
        <w:spacing w:before="360" w:after="360"/>
        <w:jc w:val="both"/>
      </w:pPr>
      <w:r>
        <w:rPr>
          <w:b/>
        </w:rPr>
        <w:t>3-</w:t>
      </w:r>
      <w:r>
        <w:t xml:space="preserve"> Justifier que l’oxyde de fer majoritaire présent dans les BIF correspond à l’hématite et ajuster l’équation chimique de sa formation après l’avoir recopiée sur la copie.</w:t>
      </w:r>
    </w:p>
    <w:tbl>
      <w:tblPr>
        <w:tblStyle w:val="Grilledutableau"/>
        <w:tblW w:w="9067" w:type="dxa"/>
        <w:jc w:val="center"/>
        <w:tblLook w:val="04A0" w:firstRow="1" w:lastRow="0" w:firstColumn="1" w:lastColumn="0" w:noHBand="0" w:noVBand="1"/>
      </w:tblPr>
      <w:tblGrid>
        <w:gridCol w:w="9067"/>
      </w:tblGrid>
      <w:tr w:rsidR="00B845D1" w:rsidTr="0004688F">
        <w:trPr>
          <w:trHeight w:val="6946"/>
          <w:jc w:val="center"/>
        </w:trPr>
        <w:tc>
          <w:tcPr>
            <w:tcW w:w="9067" w:type="dxa"/>
          </w:tcPr>
          <w:p w:rsidR="00B845D1" w:rsidRPr="00DF7FF2" w:rsidRDefault="00DB51E6" w:rsidP="0004688F">
            <w:pPr>
              <w:spacing w:after="120"/>
              <w:ind w:left="1585" w:hanging="1705"/>
              <w:jc w:val="both"/>
              <w:rPr>
                <w:rFonts w:cs="Arial"/>
                <w:b/>
              </w:rPr>
            </w:pPr>
            <w:r w:rsidRPr="00DF7FF2">
              <w:rPr>
                <w:b/>
                <w:bCs/>
                <w:noProof/>
              </w:rPr>
              <w:lastRenderedPageBreak/>
              <w:drawing>
                <wp:anchor distT="0" distB="0" distL="114300" distR="114300" simplePos="0" relativeHeight="251661312" behindDoc="1" locked="0" layoutInCell="1" allowOverlap="1" wp14:anchorId="443901ED" wp14:editId="5B754330">
                  <wp:simplePos x="0" y="0"/>
                  <wp:positionH relativeFrom="column">
                    <wp:posOffset>561975</wp:posOffset>
                  </wp:positionH>
                  <wp:positionV relativeFrom="paragraph">
                    <wp:posOffset>427990</wp:posOffset>
                  </wp:positionV>
                  <wp:extent cx="4358005" cy="3279140"/>
                  <wp:effectExtent l="0" t="0" r="4445" b="0"/>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pic:cNvPicPr>
                        </pic:nvPicPr>
                        <pic:blipFill>
                          <a:blip r:embed="rId16">
                            <a:extLst>
                              <a:ext uri="{BEBA8EAE-BF5A-486C-A8C5-ECC9F3942E4B}">
                                <a14:imgProps xmlns:a14="http://schemas.microsoft.com/office/drawing/2010/main">
                                  <a14:imgLayer>
                                    <a14:imgEffect>
                                      <a14:sharpenSoften amount="50000"/>
                                    </a14:imgEffect>
                                    <a14:imgEffect>
                                      <a14:saturation sat="0"/>
                                    </a14:imgEffect>
                                  </a14:imgLayer>
                                </a14:imgProps>
                              </a:ext>
                            </a:extLst>
                          </a:blip>
                          <a:stretch/>
                        </pic:blipFill>
                        <pic:spPr bwMode="auto">
                          <a:xfrm>
                            <a:off x="0" y="0"/>
                            <a:ext cx="4358005" cy="327914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r w:rsidRPr="00DF7FF2">
              <w:rPr>
                <w:rFonts w:cs="Arial"/>
                <w:b/>
                <w:bCs/>
                <w:u w:val="single"/>
              </w:rPr>
              <w:t>Document</w:t>
            </w:r>
            <w:r w:rsidRPr="00DF7FF2">
              <w:rPr>
                <w:rFonts w:cs="Arial"/>
                <w:b/>
                <w:u w:val="single"/>
              </w:rPr>
              <w:t xml:space="preserve"> 3</w:t>
            </w:r>
            <w:r>
              <w:rPr>
                <w:rFonts w:cs="Arial"/>
                <w:b/>
              </w:rPr>
              <w:t> : </w:t>
            </w:r>
            <w:r w:rsidRPr="00DF7FF2">
              <w:rPr>
                <w:rFonts w:cs="Arial"/>
                <w:b/>
              </w:rPr>
              <w:t xml:space="preserve">évolution de la formation des </w:t>
            </w:r>
            <w:r w:rsidRPr="00DF7FF2">
              <w:rPr>
                <w:rFonts w:cs="Arial"/>
                <w:b/>
              </w:rPr>
              <w:t>paléosols rouges et des fers rubanés au cours du temps</w:t>
            </w:r>
          </w:p>
          <w:p w:rsidR="00B845D1" w:rsidRPr="00DF7FF2" w:rsidRDefault="00DB51E6" w:rsidP="00105617">
            <w:pPr>
              <w:spacing w:after="240"/>
              <w:jc w:val="right"/>
              <w:rPr>
                <w:rFonts w:cs="Arial"/>
                <w:sz w:val="20"/>
                <w:szCs w:val="20"/>
              </w:rPr>
            </w:pPr>
            <w:r w:rsidRPr="00DF7FF2">
              <w:rPr>
                <w:sz w:val="20"/>
                <w:szCs w:val="20"/>
              </w:rPr>
              <w:t>D’après C. Klein, Nature, 199</w:t>
            </w:r>
            <w:r w:rsidRPr="00DF7FF2">
              <w:rPr>
                <w:rFonts w:cs="Arial"/>
                <w:sz w:val="20"/>
                <w:szCs w:val="20"/>
              </w:rPr>
              <w:t>7</w:t>
            </w:r>
          </w:p>
          <w:p w:rsidR="00B845D1" w:rsidRDefault="00DB51E6" w:rsidP="00105617">
            <w:pPr>
              <w:spacing w:after="120"/>
              <w:jc w:val="both"/>
              <w:rPr>
                <w:rFonts w:cs="Arial"/>
                <w:i/>
              </w:rPr>
            </w:pPr>
            <w:r>
              <w:rPr>
                <w:rFonts w:cs="Arial"/>
                <w:i/>
              </w:rPr>
              <w:t>L’axe des abscisses correspond à l’âge des roches en milliard d’années avant le présent</w:t>
            </w:r>
            <w:r>
              <w:rPr>
                <w:rFonts w:cs="Arial"/>
              </w:rPr>
              <w:t xml:space="preserve">. </w:t>
            </w:r>
            <w:r>
              <w:rPr>
                <w:rFonts w:cs="Arial"/>
                <w:i/>
              </w:rPr>
              <w:t>L’axe des ordonnées correspond à la quantité relative des roches formées.</w:t>
            </w:r>
          </w:p>
          <w:p w:rsidR="00DF7FF2" w:rsidRDefault="00DB51E6" w:rsidP="00105617">
            <w:pPr>
              <w:spacing w:after="120"/>
              <w:jc w:val="both"/>
              <w:rPr>
                <w:rFonts w:cs="Arial"/>
              </w:rPr>
            </w:pPr>
            <w:r>
              <w:rPr>
                <w:rFonts w:cs="Arial"/>
              </w:rPr>
              <w:t xml:space="preserve">Les </w:t>
            </w:r>
            <w:r>
              <w:rPr>
                <w:rFonts w:cs="Arial"/>
              </w:rPr>
              <w:t>paléosols, ou sols fossiles, se sont formés par altération de roches continentales au contact de l’atmosphère. La couleur rouge de certains de ces sols provient de la forte teneur en hématite. Les fers rubanés sont toujours des formations sédimentaires mar</w:t>
            </w:r>
            <w:r>
              <w:rPr>
                <w:rFonts w:cs="Arial"/>
              </w:rPr>
              <w:t>ines.</w:t>
            </w:r>
          </w:p>
          <w:p w:rsidR="00DF7FF2" w:rsidRPr="00DF7FF2" w:rsidRDefault="00DB51E6" w:rsidP="0004688F">
            <w:pPr>
              <w:spacing w:after="120"/>
              <w:jc w:val="both"/>
              <w:rPr>
                <w:rFonts w:cs="Arial"/>
              </w:rPr>
            </w:pPr>
            <w:r>
              <w:rPr>
                <w:rFonts w:cs="Arial"/>
              </w:rPr>
              <w:t xml:space="preserve">Le volcanisme continental et marin relâchent une quantité importante </w:t>
            </w:r>
            <w:r>
              <w:rPr>
                <w:rFonts w:cs="Arial"/>
                <w:highlight w:val="white"/>
              </w:rPr>
              <w:t>de</w:t>
            </w:r>
            <w:r>
              <w:rPr>
                <w:rFonts w:cs="Arial"/>
              </w:rPr>
              <w:t xml:space="preserve"> fer sous forme d’ions </w:t>
            </w:r>
            <w:r>
              <w:rPr>
                <w:rFonts w:cs="Arial"/>
                <w:highlight w:val="white"/>
              </w:rPr>
              <w:t>Fe</w:t>
            </w:r>
            <w:r>
              <w:rPr>
                <w:rFonts w:cs="Arial"/>
                <w:highlight w:val="white"/>
                <w:vertAlign w:val="superscript"/>
              </w:rPr>
              <w:t>2+</w:t>
            </w:r>
            <w:r>
              <w:rPr>
                <w:rFonts w:cs="Arial"/>
              </w:rPr>
              <w:t xml:space="preserve"> oxydés en </w:t>
            </w:r>
            <w:r>
              <w:rPr>
                <w:rFonts w:cs="Arial"/>
                <w:highlight w:val="white"/>
              </w:rPr>
              <w:t>Fe</w:t>
            </w:r>
            <w:r>
              <w:rPr>
                <w:rFonts w:cs="Arial"/>
                <w:highlight w:val="white"/>
                <w:vertAlign w:val="superscript"/>
              </w:rPr>
              <w:t>3+</w:t>
            </w:r>
            <w:r>
              <w:rPr>
                <w:rFonts w:cs="Arial"/>
              </w:rPr>
              <w:t xml:space="preserve"> par le dioxygène entraînant la formation de l’hématite.</w:t>
            </w:r>
          </w:p>
        </w:tc>
      </w:tr>
    </w:tbl>
    <w:p w:rsidR="00B845D1" w:rsidRDefault="00DB51E6" w:rsidP="000310BE">
      <w:pPr>
        <w:spacing w:before="360" w:after="240"/>
        <w:jc w:val="both"/>
      </w:pPr>
      <w:r>
        <w:rPr>
          <w:b/>
        </w:rPr>
        <w:t>4-</w:t>
      </w:r>
      <w:r>
        <w:t xml:space="preserve"> À</w:t>
      </w:r>
      <w:r>
        <w:t xml:space="preserve"> l’aide du document 3, proposer une chronologie d’évènements ayant conduit à la mise en place d’une atmosphère riche en dioxygène.</w:t>
      </w:r>
    </w:p>
    <w:p w:rsidR="00B845D1" w:rsidRDefault="00DB51E6" w:rsidP="000310BE">
      <w:pPr>
        <w:spacing w:after="240"/>
        <w:jc w:val="both"/>
      </w:pPr>
      <w:r>
        <w:rPr>
          <w:b/>
        </w:rPr>
        <w:t>5-</w:t>
      </w:r>
      <w:r>
        <w:t xml:space="preserve"> D’après les connaissances, indiquer comment se forme l’ozone (O</w:t>
      </w:r>
      <w:r w:rsidRPr="004F7723">
        <w:rPr>
          <w:vertAlign w:val="subscript"/>
        </w:rPr>
        <w:t>3</w:t>
      </w:r>
      <w:r>
        <w:t>) dans la stratosphère et quel est son rôle sur le dévelop</w:t>
      </w:r>
      <w:r>
        <w:t>pement de la vie terrestre.</w:t>
      </w:r>
    </w:p>
    <w:sectPr w:rsidR="00B845D1" w:rsidSect="00E61EB3">
      <w:headerReference w:type="even" r:id="rId17"/>
      <w:headerReference w:type="default" r:id="rId18"/>
      <w:footerReference w:type="even" r:id="rId19"/>
      <w:footerReference w:type="default" r:id="rId20"/>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7AD" w:rsidRDefault="004F37AD" w:rsidP="0053612B">
      <w:pPr>
        <w:spacing w:after="0" w:line="240" w:lineRule="auto"/>
      </w:pPr>
      <w:r>
        <w:separator/>
      </w:r>
    </w:p>
  </w:endnote>
  <w:endnote w:type="continuationSeparator" w:id="0">
    <w:p w:rsidR="004F37AD" w:rsidRDefault="004F37AD" w:rsidP="0053612B">
      <w:pPr>
        <w:spacing w:after="0" w:line="240" w:lineRule="auto"/>
      </w:pPr>
      <w:r>
        <w:continuationSeparator/>
      </w:r>
    </w:p>
  </w:endnote>
  <w:endnote w:type="continuationNotice" w:id="1">
    <w:p w:rsidR="004F37AD" w:rsidRDefault="004F3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9"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B51E6" w:rsidRPr="00DB51E6">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B51E6" w:rsidRPr="00DB51E6">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B51E6" w:rsidRPr="00DB51E6">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B51E6" w:rsidRPr="00DB51E6">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7AD" w:rsidRDefault="004F37AD" w:rsidP="0053612B">
      <w:pPr>
        <w:spacing w:after="0" w:line="240" w:lineRule="auto"/>
      </w:pPr>
      <w:r>
        <w:separator/>
      </w:r>
    </w:p>
  </w:footnote>
  <w:footnote w:type="continuationSeparator" w:id="0">
    <w:p w:rsidR="004F37AD" w:rsidRDefault="004F37AD" w:rsidP="0053612B">
      <w:pPr>
        <w:spacing w:after="0" w:line="240" w:lineRule="auto"/>
      </w:pPr>
      <w:r>
        <w:continuationSeparator/>
      </w:r>
    </w:p>
  </w:footnote>
  <w:footnote w:type="continuationNotice" w:id="1">
    <w:p w:rsidR="004F37AD" w:rsidRDefault="004F37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1"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0"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DB51E6"/>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4A624B-9CC0-4122-83AF-87CB78FBF0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1179</Words>
  <Characters>6489</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