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7B0127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7B0127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12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12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7B0127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7B0127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7B0127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7B0127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7B0127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7B0127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7B0127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12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12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012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7B0127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7B0127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7B0127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7B0127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7B0127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7B0127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7B0127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7B0127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7</w:t>
            </w:r>
            <w:r w:rsidR="007B0127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7B0127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7B0127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8F1AC3" w:rsidRPr="00A77456" w:rsidRDefault="007B0127" w:rsidP="008F1AC3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8F1AC3" w:rsidRPr="00A77456" w:rsidRDefault="007B0127" w:rsidP="008F1AC3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futur des énergies »</w:t>
      </w:r>
    </w:p>
    <w:p w:rsidR="008F1AC3" w:rsidRPr="00D87AD1" w:rsidRDefault="007B0127" w:rsidP="008F1AC3">
      <w:pPr>
        <w:spacing w:after="120"/>
        <w:rPr>
          <w:b/>
          <w:sz w:val="22"/>
        </w:rPr>
      </w:pPr>
      <w:r>
        <w:rPr>
          <w:b/>
          <w:sz w:val="28"/>
        </w:rPr>
        <w:t>Les impacts de la combustion sur l’environnement et la santé</w:t>
      </w:r>
    </w:p>
    <w:p w:rsidR="008F1AC3" w:rsidRPr="008F1AC3" w:rsidRDefault="007B0127" w:rsidP="00D83648">
      <w:pPr>
        <w:spacing w:after="480"/>
        <w:rPr>
          <w:i/>
        </w:rPr>
      </w:pPr>
      <w:r w:rsidRPr="00D74F67">
        <w:rPr>
          <w:i/>
        </w:rPr>
        <w:t>Sur 10 points</w:t>
      </w:r>
    </w:p>
    <w:p w:rsidR="00D82CFD" w:rsidRPr="00587BCF" w:rsidRDefault="007B0127" w:rsidP="00FE546F">
      <w:pPr>
        <w:spacing w:after="120"/>
        <w:jc w:val="both"/>
        <w:rPr>
          <w:rFonts w:cs="Arial"/>
        </w:rPr>
      </w:pPr>
      <w:r w:rsidRPr="00587BCF">
        <w:rPr>
          <w:rFonts w:cs="Arial"/>
        </w:rPr>
        <w:t xml:space="preserve">La combustion de carburants fossiles et de la biomasse libère du dioxyde de carbone qui a un impact environnemental majeur. </w:t>
      </w:r>
      <w:r>
        <w:rPr>
          <w:rFonts w:cs="Arial"/>
        </w:rPr>
        <w:t xml:space="preserve"> </w:t>
      </w:r>
    </w:p>
    <w:p w:rsidR="00D82CFD" w:rsidRPr="00587BCF" w:rsidRDefault="007B0127" w:rsidP="00FE546F">
      <w:pPr>
        <w:spacing w:after="120"/>
        <w:jc w:val="both"/>
        <w:rPr>
          <w:rFonts w:cs="Arial"/>
        </w:rPr>
      </w:pPr>
      <w:r w:rsidRPr="00587BCF">
        <w:rPr>
          <w:rFonts w:cs="Arial"/>
        </w:rPr>
        <w:t>Il est également reconnu par l’Organisation mondiale de la santé (OMS) que la santé publique est impactée par la pollution de l’ai</w:t>
      </w:r>
      <w:r w:rsidRPr="00587BCF">
        <w:rPr>
          <w:rFonts w:cs="Arial"/>
        </w:rPr>
        <w:t>r. Le Ministère des Solidarités et de la Santé estime qu’environ 48 000 personnes décèdent chaque année des effets de la pollution de l’air en France.</w:t>
      </w:r>
    </w:p>
    <w:p w:rsidR="00D82CFD" w:rsidRPr="00587BCF" w:rsidRDefault="007B0127" w:rsidP="00D83648">
      <w:pPr>
        <w:spacing w:after="480"/>
        <w:jc w:val="both"/>
        <w:rPr>
          <w:rFonts w:cs="Arial"/>
        </w:rPr>
      </w:pPr>
      <w:r w:rsidRPr="00587BCF">
        <w:rPr>
          <w:rFonts w:cs="Arial"/>
        </w:rPr>
        <w:t>On se propose d’étudier la part et les impacts de la combustion de carburants fossiles et de biomasse sur</w:t>
      </w:r>
      <w:r w:rsidRPr="00587BCF">
        <w:rPr>
          <w:rFonts w:cs="Arial"/>
        </w:rPr>
        <w:t xml:space="preserve"> la santé humaine.</w:t>
      </w:r>
    </w:p>
    <w:tbl>
      <w:tblPr>
        <w:tblW w:w="938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55" w:type="dxa"/>
          <w:left w:w="3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80"/>
      </w:tblGrid>
      <w:tr w:rsidR="00D82CFD" w:rsidRPr="00587BCF" w:rsidTr="00B7433F">
        <w:trPr>
          <w:trHeight w:val="5272"/>
        </w:trPr>
        <w:tc>
          <w:tcPr>
            <w:tcW w:w="938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30" w:type="dxa"/>
            </w:tcMar>
          </w:tcPr>
          <w:p w:rsidR="00D82CFD" w:rsidRPr="00587BCF" w:rsidRDefault="007B0127" w:rsidP="00626D88">
            <w:pPr>
              <w:spacing w:after="240"/>
              <w:ind w:left="1806" w:right="909" w:hanging="1701"/>
              <w:jc w:val="both"/>
              <w:rPr>
                <w:rFonts w:cs="Arial"/>
              </w:rPr>
            </w:pPr>
            <w:r w:rsidRPr="00587BCF">
              <w:rPr>
                <w:rFonts w:cs="Arial"/>
                <w:b/>
                <w:bCs/>
                <w:u w:val="single"/>
              </w:rPr>
              <w:t>Document 1 :</w:t>
            </w:r>
            <w:r>
              <w:rPr>
                <w:rFonts w:cs="Arial"/>
                <w:b/>
                <w:bCs/>
              </w:rPr>
              <w:t>   P</w:t>
            </w:r>
            <w:r w:rsidRPr="00587BCF">
              <w:rPr>
                <w:rFonts w:cs="Arial"/>
                <w:b/>
                <w:bCs/>
              </w:rPr>
              <w:t>roduction de dioxyde de carbone lors de la combustion de carburants fossiles et de la biomasse</w:t>
            </w:r>
            <w:r w:rsidRPr="00587BCF">
              <w:rPr>
                <w:rFonts w:cs="Arial"/>
                <w:b/>
                <w:bCs/>
                <w:u w:val="single"/>
              </w:rPr>
              <w:t xml:space="preserve"> </w:t>
            </w:r>
          </w:p>
          <w:tbl>
            <w:tblPr>
              <w:tblW w:w="8363" w:type="dxa"/>
              <w:jc w:val="center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CellMar>
                <w:top w:w="55" w:type="dxa"/>
                <w:left w:w="30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939"/>
              <w:gridCol w:w="5424"/>
            </w:tblGrid>
            <w:tr w:rsidR="00FE546F" w:rsidRPr="00587BCF" w:rsidTr="008C2952">
              <w:trPr>
                <w:jc w:val="center"/>
              </w:trPr>
              <w:tc>
                <w:tcPr>
                  <w:tcW w:w="293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B0127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b/>
                      <w:bCs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Combustible</w:t>
                  </w:r>
                </w:p>
              </w:tc>
              <w:tc>
                <w:tcPr>
                  <w:tcW w:w="54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B0127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b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b/>
                      <w:sz w:val="22"/>
                    </w:rPr>
                    <w:t>Équation de la réaction</w:t>
                  </w:r>
                </w:p>
              </w:tc>
            </w:tr>
            <w:tr w:rsidR="00FE546F" w:rsidRPr="00587BCF" w:rsidTr="008C2952">
              <w:trPr>
                <w:jc w:val="center"/>
              </w:trPr>
              <w:tc>
                <w:tcPr>
                  <w:tcW w:w="293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B0127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Gaz naturel méthane CH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4</w:t>
                  </w:r>
                </w:p>
              </w:tc>
              <w:tc>
                <w:tcPr>
                  <w:tcW w:w="54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B0127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eastAsia="Times New Roman" w:hAnsi="Arial"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CH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4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+ 2 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→ CO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 xml:space="preserve"> + 2 H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O</w:t>
                  </w:r>
                </w:p>
              </w:tc>
            </w:tr>
            <w:tr w:rsidR="00FE546F" w:rsidRPr="00587BCF" w:rsidTr="008C2952">
              <w:trPr>
                <w:jc w:val="center"/>
              </w:trPr>
              <w:tc>
                <w:tcPr>
                  <w:tcW w:w="293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B0127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Essence modélisée par l’octane C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8</w:t>
                  </w:r>
                  <w:r w:rsidRPr="00C0092E">
                    <w:rPr>
                      <w:rFonts w:ascii="Arial" w:hAnsi="Arial"/>
                      <w:sz w:val="22"/>
                    </w:rPr>
                    <w:t>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18</w:t>
                  </w:r>
                </w:p>
              </w:tc>
              <w:tc>
                <w:tcPr>
                  <w:tcW w:w="54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B0127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2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C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8</w:t>
                  </w:r>
                  <w:r w:rsidRPr="00C0092E">
                    <w:rPr>
                      <w:rFonts w:ascii="Arial" w:hAnsi="Arial"/>
                      <w:sz w:val="22"/>
                    </w:rPr>
                    <w:t>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18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+ 25 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→ 16 CO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 xml:space="preserve"> +18 H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O</w:t>
                  </w:r>
                </w:p>
              </w:tc>
            </w:tr>
            <w:tr w:rsidR="00FE546F" w:rsidRPr="00587BCF" w:rsidTr="008C2952">
              <w:trPr>
                <w:trHeight w:val="357"/>
                <w:jc w:val="center"/>
              </w:trPr>
              <w:tc>
                <w:tcPr>
                  <w:tcW w:w="293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B0127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Biomasse (bois)</w:t>
                  </w:r>
                  <w:r w:rsidRPr="00C0092E">
                    <w:rPr>
                      <w:rFonts w:ascii="Arial" w:hAnsi="Arial"/>
                      <w:sz w:val="22"/>
                    </w:rPr>
                    <w:br/>
                    <w:t>modélisée par C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6</w:t>
                  </w:r>
                  <w:r w:rsidRPr="00C0092E">
                    <w:rPr>
                      <w:rFonts w:ascii="Arial" w:hAnsi="Arial"/>
                      <w:sz w:val="22"/>
                    </w:rPr>
                    <w:t>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10</w:t>
                  </w:r>
                  <w:r w:rsidRPr="00C0092E">
                    <w:rPr>
                      <w:rFonts w:ascii="Arial" w:hAnsi="Arial"/>
                      <w:sz w:val="22"/>
                    </w:rPr>
                    <w:t>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5</w:t>
                  </w:r>
                </w:p>
              </w:tc>
              <w:tc>
                <w:tcPr>
                  <w:tcW w:w="54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B0127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C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6</w:t>
                  </w:r>
                  <w:r w:rsidRPr="00C0092E">
                    <w:rPr>
                      <w:rFonts w:ascii="Arial" w:hAnsi="Arial"/>
                      <w:sz w:val="22"/>
                    </w:rPr>
                    <w:t>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10</w:t>
                  </w:r>
                  <w:r w:rsidRPr="00C0092E">
                    <w:rPr>
                      <w:rFonts w:ascii="Arial" w:hAnsi="Arial"/>
                      <w:sz w:val="22"/>
                    </w:rPr>
                    <w:t>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5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+ 6 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→ 6 CO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 xml:space="preserve"> + 5 H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O</w:t>
                  </w:r>
                </w:p>
              </w:tc>
            </w:tr>
          </w:tbl>
          <w:p w:rsidR="00FE546F" w:rsidRDefault="007B0127" w:rsidP="00626D88">
            <w:pPr>
              <w:spacing w:before="240" w:after="120"/>
              <w:rPr>
                <w:rFonts w:cs="Arial"/>
                <w:i/>
                <w:iCs/>
              </w:rPr>
            </w:pPr>
            <w:r>
              <w:rPr>
                <w:b/>
                <w:bCs/>
              </w:rPr>
              <w:t xml:space="preserve">  </w:t>
            </w:r>
            <w:r w:rsidRPr="00587BCF">
              <w:rPr>
                <w:b/>
                <w:bCs/>
              </w:rPr>
              <w:t>Énergie massique libérée p</w:t>
            </w:r>
            <w:r w:rsidRPr="00587BCF">
              <w:rPr>
                <w:b/>
                <w:bCs/>
                <w:iCs/>
              </w:rPr>
              <w:t>ar kg de combustible brûlé</w:t>
            </w:r>
            <w:r w:rsidRPr="00D4028B">
              <w:rPr>
                <w:b/>
                <w:bCs/>
                <w:iCs/>
              </w:rPr>
              <w:t> </w:t>
            </w:r>
            <w:r w:rsidRPr="00D4028B">
              <w:rPr>
                <w:b/>
              </w:rPr>
              <w:t>:</w:t>
            </w:r>
          </w:p>
          <w:tbl>
            <w:tblPr>
              <w:tblW w:w="8363" w:type="dxa"/>
              <w:jc w:val="center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CellMar>
                <w:top w:w="55" w:type="dxa"/>
                <w:left w:w="30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090"/>
              <w:gridCol w:w="2091"/>
              <w:gridCol w:w="2091"/>
              <w:gridCol w:w="2091"/>
            </w:tblGrid>
            <w:tr w:rsidR="00FE546F" w:rsidRPr="00587BCF" w:rsidTr="00D4028B">
              <w:trPr>
                <w:jc w:val="center"/>
              </w:trPr>
              <w:tc>
                <w:tcPr>
                  <w:tcW w:w="20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B0127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Combustible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B0127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Gaz naturel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B0127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Essence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B0127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Biomasse</w:t>
                  </w:r>
                </w:p>
              </w:tc>
            </w:tr>
            <w:tr w:rsidR="00FE546F" w:rsidRPr="00587BCF" w:rsidTr="00D83648">
              <w:trPr>
                <w:trHeight w:val="680"/>
                <w:jc w:val="center"/>
              </w:trPr>
              <w:tc>
                <w:tcPr>
                  <w:tcW w:w="20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B0127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Énergie massique libérée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B0127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50 MJ.kg</w:t>
                  </w:r>
                  <w:r w:rsidRPr="00C0092E">
                    <w:rPr>
                      <w:rFonts w:ascii="Arial" w:hAnsi="Arial"/>
                      <w:sz w:val="22"/>
                      <w:vertAlign w:val="superscript"/>
                    </w:rPr>
                    <w:t>-1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B0127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45 MJ.kg</w:t>
                  </w:r>
                  <w:r w:rsidRPr="00C0092E">
                    <w:rPr>
                      <w:rFonts w:ascii="Arial" w:hAnsi="Arial"/>
                      <w:sz w:val="22"/>
                      <w:vertAlign w:val="superscript"/>
                    </w:rPr>
                    <w:t>-1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7B0127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 xml:space="preserve">17 </w:t>
                  </w:r>
                  <w:r w:rsidRPr="00C0092E">
                    <w:rPr>
                      <w:rFonts w:ascii="Arial" w:hAnsi="Arial"/>
                      <w:sz w:val="22"/>
                    </w:rPr>
                    <w:t>MJ.kg</w:t>
                  </w:r>
                  <w:r w:rsidRPr="00C0092E">
                    <w:rPr>
                      <w:rFonts w:ascii="Arial" w:hAnsi="Arial"/>
                      <w:sz w:val="22"/>
                      <w:vertAlign w:val="superscript"/>
                    </w:rPr>
                    <w:t>-1</w:t>
                  </w:r>
                </w:p>
              </w:tc>
            </w:tr>
          </w:tbl>
          <w:p w:rsidR="00A7477B" w:rsidRPr="00D83648" w:rsidRDefault="007B0127" w:rsidP="00D83648">
            <w:pPr>
              <w:spacing w:after="0"/>
              <w:rPr>
                <w:rFonts w:cs="Arial"/>
                <w:sz w:val="12"/>
                <w:szCs w:val="22"/>
              </w:rPr>
            </w:pPr>
          </w:p>
        </w:tc>
      </w:tr>
      <w:tr w:rsidR="00A7477B" w:rsidRPr="00587BCF" w:rsidTr="00B7433F">
        <w:trPr>
          <w:cantSplit/>
        </w:trPr>
        <w:tc>
          <w:tcPr>
            <w:tcW w:w="9380" w:type="dxa"/>
            <w:tcBorders>
              <w:top w:val="nil"/>
            </w:tcBorders>
            <w:shd w:val="clear" w:color="auto" w:fill="auto"/>
            <w:tcMar>
              <w:left w:w="30" w:type="dxa"/>
            </w:tcMar>
          </w:tcPr>
          <w:p w:rsidR="00A7477B" w:rsidRPr="00587BCF" w:rsidRDefault="007B0127" w:rsidP="00D83648">
            <w:pPr>
              <w:pStyle w:val="Contenudetableau"/>
              <w:spacing w:before="120" w:after="120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lastRenderedPageBreak/>
              <w:t xml:space="preserve">  </w:t>
            </w:r>
            <w:r w:rsidRPr="00587BCF">
              <w:rPr>
                <w:rFonts w:ascii="Arial" w:hAnsi="Arial"/>
                <w:b/>
                <w:bCs/>
              </w:rPr>
              <w:t>Masse de CO</w:t>
            </w:r>
            <w:r w:rsidRPr="00587BCF">
              <w:rPr>
                <w:rFonts w:ascii="Arial" w:hAnsi="Arial"/>
                <w:b/>
                <w:bCs/>
                <w:vertAlign w:val="subscript"/>
              </w:rPr>
              <w:t>2</w:t>
            </w:r>
            <w:r w:rsidRPr="00587BCF">
              <w:rPr>
                <w:rFonts w:ascii="Arial" w:hAnsi="Arial"/>
                <w:b/>
                <w:bCs/>
              </w:rPr>
              <w:t xml:space="preserve"> produite pour 1 MJ d’énergie obtenue :</w:t>
            </w:r>
          </w:p>
          <w:tbl>
            <w:tblPr>
              <w:tblW w:w="8363" w:type="dxa"/>
              <w:jc w:val="center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CellMar>
                <w:top w:w="55" w:type="dxa"/>
                <w:left w:w="30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090"/>
              <w:gridCol w:w="2091"/>
              <w:gridCol w:w="2091"/>
              <w:gridCol w:w="2091"/>
            </w:tblGrid>
            <w:tr w:rsidR="00A7477B" w:rsidRPr="00587BCF" w:rsidTr="005A5911">
              <w:trPr>
                <w:trHeight w:val="469"/>
                <w:jc w:val="center"/>
              </w:trPr>
              <w:tc>
                <w:tcPr>
                  <w:tcW w:w="20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7B0127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Combustible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7B0127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Gaz naturel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7B0127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Essence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7B0127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Biomasse</w:t>
                  </w:r>
                </w:p>
              </w:tc>
            </w:tr>
            <w:tr w:rsidR="00A7477B" w:rsidRPr="00587BCF" w:rsidTr="005A5911">
              <w:trPr>
                <w:jc w:val="center"/>
              </w:trPr>
              <w:tc>
                <w:tcPr>
                  <w:tcW w:w="20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7B0127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Masse de CO</w:t>
                  </w:r>
                  <w:r w:rsidRPr="00C0092E">
                    <w:rPr>
                      <w:rFonts w:ascii="Arial" w:hAnsi="Arial"/>
                      <w:b/>
                      <w:bCs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 xml:space="preserve"> produite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7B0127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56 g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EEECE1" w:themeFill="background2"/>
                  <w:tcMar>
                    <w:left w:w="30" w:type="dxa"/>
                  </w:tcMar>
                  <w:vAlign w:val="center"/>
                </w:tcPr>
                <w:p w:rsidR="00A7477B" w:rsidRPr="00C0092E" w:rsidRDefault="007B0127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i/>
                      <w:sz w:val="22"/>
                    </w:rPr>
                  </w:pPr>
                  <w:r w:rsidRPr="00C0092E">
                    <w:rPr>
                      <w:rFonts w:ascii="Arial" w:hAnsi="Arial"/>
                      <w:i/>
                      <w:sz w:val="22"/>
                    </w:rPr>
                    <w:t>À calculer à la question 5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7B0127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95 g</w:t>
                  </w:r>
                </w:p>
              </w:tc>
            </w:tr>
          </w:tbl>
          <w:p w:rsidR="00A7477B" w:rsidRPr="00587BCF" w:rsidRDefault="007B0127" w:rsidP="00D83648">
            <w:pPr>
              <w:spacing w:before="240" w:after="120"/>
              <w:ind w:left="1806" w:right="124" w:hanging="1701"/>
              <w:jc w:val="right"/>
              <w:rPr>
                <w:rFonts w:cs="Arial"/>
                <w:b/>
                <w:bCs/>
                <w:u w:val="single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Source : d’après J.-</w:t>
            </w:r>
            <w:r w:rsidRPr="00587BCF">
              <w:rPr>
                <w:rFonts w:cs="Arial"/>
                <w:i/>
                <w:iCs/>
                <w:sz w:val="20"/>
                <w:szCs w:val="20"/>
              </w:rPr>
              <w:t>C</w:t>
            </w:r>
            <w:r>
              <w:rPr>
                <w:rFonts w:cs="Arial"/>
                <w:i/>
                <w:iCs/>
                <w:sz w:val="20"/>
                <w:szCs w:val="20"/>
              </w:rPr>
              <w:t>.</w:t>
            </w:r>
            <w:r w:rsidRPr="00587BCF">
              <w:rPr>
                <w:rFonts w:cs="Arial"/>
                <w:i/>
                <w:iCs/>
                <w:sz w:val="20"/>
                <w:szCs w:val="20"/>
              </w:rPr>
              <w:t xml:space="preserve"> Guibet, Publications de l’In</w:t>
            </w:r>
            <w:r>
              <w:rPr>
                <w:rFonts w:cs="Arial"/>
                <w:i/>
                <w:iCs/>
                <w:sz w:val="20"/>
                <w:szCs w:val="20"/>
              </w:rPr>
              <w:t>stitut français du pétrole,1997</w:t>
            </w:r>
            <w:r>
              <w:rPr>
                <w:rFonts w:cs="Arial"/>
                <w:i/>
                <w:iCs/>
                <w:sz w:val="20"/>
                <w:szCs w:val="20"/>
              </w:rPr>
              <w:br/>
              <w:t>et W.-</w:t>
            </w:r>
            <w:r w:rsidRPr="00587BCF">
              <w:rPr>
                <w:rFonts w:cs="Arial"/>
                <w:i/>
                <w:iCs/>
                <w:sz w:val="20"/>
                <w:szCs w:val="20"/>
              </w:rPr>
              <w:t>M. Haynes, CRC Handbook of Chemistry and Physics,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 w:rsidRPr="00587BCF">
              <w:rPr>
                <w:rFonts w:cs="Arial"/>
                <w:i/>
                <w:iCs/>
                <w:sz w:val="20"/>
                <w:szCs w:val="20"/>
              </w:rPr>
              <w:t>2012</w:t>
            </w:r>
          </w:p>
        </w:tc>
      </w:tr>
    </w:tbl>
    <w:p w:rsidR="00FB7193" w:rsidRPr="00587BCF" w:rsidRDefault="007B0127" w:rsidP="00F61D89">
      <w:pPr>
        <w:spacing w:before="600" w:after="180"/>
        <w:jc w:val="both"/>
        <w:rPr>
          <w:rFonts w:cs="Arial"/>
        </w:rPr>
      </w:pPr>
      <w:r w:rsidRPr="00587BCF">
        <w:rPr>
          <w:rFonts w:cs="Arial"/>
          <w:b/>
          <w:bCs/>
        </w:rPr>
        <w:t>1-</w:t>
      </w:r>
      <w:r w:rsidRPr="00587BCF">
        <w:rPr>
          <w:rFonts w:cs="Arial"/>
        </w:rPr>
        <w:t xml:space="preserve"> </w:t>
      </w:r>
      <w:r>
        <w:rPr>
          <w:rFonts w:cs="Arial"/>
        </w:rPr>
        <w:t>I</w:t>
      </w:r>
      <w:r w:rsidRPr="00587BCF">
        <w:rPr>
          <w:rFonts w:cs="Arial"/>
        </w:rPr>
        <w:t xml:space="preserve">ndiquer le (ou les) combustible(s) </w:t>
      </w:r>
      <w:r>
        <w:rPr>
          <w:rFonts w:cs="Arial"/>
        </w:rPr>
        <w:t xml:space="preserve">mentionnés dans le document 1 </w:t>
      </w:r>
      <w:r w:rsidRPr="00587BCF">
        <w:rPr>
          <w:rFonts w:cs="Arial"/>
        </w:rPr>
        <w:t>pouvant être utilisés comme source(s) d’énergie renouvelable.</w:t>
      </w:r>
    </w:p>
    <w:p w:rsidR="00FB7193" w:rsidRPr="00587BCF" w:rsidRDefault="007B0127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>2-</w:t>
      </w:r>
      <w:r w:rsidRPr="00587BCF">
        <w:rPr>
          <w:rFonts w:cs="Arial"/>
        </w:rPr>
        <w:t xml:space="preserve"> Calculer la masse d’essence, notée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essence</m:t>
            </m:r>
          </m:sub>
        </m:sSub>
      </m:oMath>
      <w:r w:rsidRPr="00587BCF">
        <w:rPr>
          <w:rFonts w:cs="Arial"/>
        </w:rPr>
        <w:t xml:space="preserve">, nécessaire pour </w:t>
      </w:r>
      <w:r w:rsidRPr="00587BCF">
        <w:rPr>
          <w:rFonts w:cs="Arial"/>
        </w:rPr>
        <w:t>obtenir une énergie de valeur 1 MJ.</w:t>
      </w:r>
    </w:p>
    <w:p w:rsidR="00FB7193" w:rsidRPr="00587BCF" w:rsidRDefault="007B0127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>3-</w:t>
      </w:r>
      <w:r w:rsidRPr="00587BCF">
        <w:rPr>
          <w:rFonts w:cs="Arial"/>
        </w:rPr>
        <w:t xml:space="preserve"> Sachant que la masse d’une mole d’essence est égale à</w:t>
      </w:r>
      <w:r>
        <w:rPr>
          <w:rFonts w:cs="Arial"/>
        </w:rPr>
        <w:t xml:space="preserve"> 114 g</w:t>
      </w:r>
      <w:r w:rsidRPr="00587BCF">
        <w:rPr>
          <w:rFonts w:cs="Arial"/>
        </w:rPr>
        <w:t>, vérifier que la quantité de matière, notée</w:t>
      </w:r>
      <w:r w:rsidRPr="00587BCF">
        <w:rPr>
          <w:rFonts w:cs="Arial"/>
          <w:b/>
          <w:bCs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essence</m:t>
            </m:r>
          </m:sub>
        </m:sSub>
      </m:oMath>
      <w:r w:rsidRPr="00587BCF">
        <w:rPr>
          <w:rFonts w:cs="Arial"/>
          <w:bCs/>
        </w:rPr>
        <w:t xml:space="preserve">, </w:t>
      </w:r>
      <w:r w:rsidRPr="00587BCF">
        <w:rPr>
          <w:rFonts w:cs="Arial"/>
        </w:rPr>
        <w:t>présente dans la masse d’essence nécessaire pour obtenir une énergie de valeur</w:t>
      </w:r>
      <w:r>
        <w:rPr>
          <w:rFonts w:cs="Arial"/>
        </w:rPr>
        <w:t xml:space="preserve"> 1 MJ</w:t>
      </w:r>
      <w:r w:rsidRPr="00587BCF">
        <w:rPr>
          <w:rFonts w:cs="Arial"/>
        </w:rPr>
        <w:t xml:space="preserve"> vaut</w:t>
      </w:r>
      <w:r w:rsidRPr="00587BCF">
        <w:rPr>
          <w:rFonts w:cs="Arial"/>
          <w:b/>
          <w:bCs/>
        </w:rPr>
        <w:t xml:space="preserve"> </w:t>
      </w:r>
      <w:r w:rsidRPr="00587BCF">
        <w:rPr>
          <w:rFonts w:cs="Arial"/>
        </w:rPr>
        <w:t xml:space="preserve">environ :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</m:t>
            </m:r>
            <m:r>
              <m:rPr>
                <m:sty m:val="p"/>
              </m:rPr>
              <w:rPr>
                <w:rFonts w:ascii="Cambria Math" w:hAnsi="Cambria Math" w:cs="Arial"/>
              </w:rPr>
              <m:t>ssence</m:t>
            </m:r>
          </m:sub>
        </m:sSub>
        <m:r>
          <w:rPr>
            <w:rFonts w:ascii="Cambria Math" w:hAnsi="Cambria Math" w:cs="Arial"/>
          </w:rPr>
          <m:t xml:space="preserve">=0,2 </m:t>
        </m:r>
        <m:r>
          <m:rPr>
            <m:sty m:val="p"/>
          </m:rPr>
          <w:rPr>
            <w:rFonts w:ascii="Cambria Math" w:hAnsi="Cambria Math" w:cs="Arial"/>
          </w:rPr>
          <m:t>mol</m:t>
        </m:r>
      </m:oMath>
      <w:r w:rsidRPr="00587BCF">
        <w:rPr>
          <w:rFonts w:cs="Arial"/>
        </w:rPr>
        <w:t>.</w:t>
      </w:r>
    </w:p>
    <w:p w:rsidR="00FB7193" w:rsidRPr="00587BCF" w:rsidRDefault="007B0127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 xml:space="preserve">4- </w:t>
      </w:r>
      <w:r w:rsidRPr="00587BCF">
        <w:rPr>
          <w:rFonts w:cs="Arial"/>
        </w:rPr>
        <w:t xml:space="preserve">À l’aide de l’équation de la réaction modélisant la combustion de l’essence, vérifier que la quantité de matière de dioxyde de carbone produite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CO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sub>
        </m:sSub>
      </m:oMath>
      <w:r w:rsidRPr="00587BCF">
        <w:rPr>
          <w:rFonts w:cs="Arial"/>
        </w:rPr>
        <w:t xml:space="preserve"> est telle que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CO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sub>
        </m:sSub>
        <m:r>
          <w:rPr>
            <w:rFonts w:ascii="Cambria Math" w:hAnsi="Cambria Math" w:cs="Arial"/>
          </w:rPr>
          <m:t>=8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essence</m:t>
            </m:r>
          </m:sub>
        </m:sSub>
      </m:oMath>
      <w:r w:rsidRPr="00587BCF">
        <w:rPr>
          <w:rFonts w:cs="Arial"/>
        </w:rPr>
        <w:t xml:space="preserve">.  Calculer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CO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sub>
        </m:sSub>
      </m:oMath>
      <w:r w:rsidRPr="00587BCF">
        <w:rPr>
          <w:rFonts w:cs="Arial"/>
        </w:rPr>
        <w:t>.</w:t>
      </w:r>
    </w:p>
    <w:p w:rsidR="00FB7193" w:rsidRPr="00587BCF" w:rsidRDefault="007B0127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 xml:space="preserve">5- </w:t>
      </w:r>
      <w:r w:rsidRPr="00587BCF">
        <w:rPr>
          <w:rFonts w:cs="Arial"/>
        </w:rPr>
        <w:t>La masse d’une mole de dioxyde de c</w:t>
      </w:r>
      <w:r w:rsidRPr="00587BCF">
        <w:rPr>
          <w:rFonts w:cs="Arial"/>
        </w:rPr>
        <w:t>arbone étant égale à</w:t>
      </w:r>
      <w:r>
        <w:rPr>
          <w:rFonts w:cs="Arial"/>
        </w:rPr>
        <w:t xml:space="preserve"> 44 g</w:t>
      </w:r>
      <w:r w:rsidRPr="00587BCF">
        <w:rPr>
          <w:rFonts w:cs="Arial"/>
        </w:rPr>
        <w:t>, déterminer la masse de CO</w:t>
      </w:r>
      <w:r w:rsidRPr="00587BCF">
        <w:rPr>
          <w:rFonts w:cs="Arial"/>
          <w:vertAlign w:val="subscript"/>
        </w:rPr>
        <w:t>2</w:t>
      </w:r>
      <w:r w:rsidRPr="00587BCF">
        <w:rPr>
          <w:rFonts w:cs="Arial"/>
        </w:rPr>
        <w:t xml:space="preserve"> libérée dans l’atmosphère par la combustion de l’essence pour obtenir une énergie de valeur 1 MJ.</w:t>
      </w:r>
    </w:p>
    <w:p w:rsidR="00D82CFD" w:rsidRDefault="007B0127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>6-</w:t>
      </w:r>
      <w:r>
        <w:rPr>
          <w:rFonts w:cs="Arial"/>
        </w:rPr>
        <w:t> </w:t>
      </w:r>
      <w:r w:rsidRPr="00587BCF">
        <w:rPr>
          <w:rFonts w:cs="Arial"/>
        </w:rPr>
        <w:t xml:space="preserve">Comparer la masse de dioxyde de carbone émise par MJ produit pour chaque combustible du </w:t>
      </w:r>
      <w:r w:rsidRPr="00587BCF">
        <w:rPr>
          <w:rFonts w:cs="Arial"/>
          <w:bCs/>
        </w:rPr>
        <w:t>document 1 et</w:t>
      </w:r>
      <w:r w:rsidRPr="00587BCF">
        <w:rPr>
          <w:rFonts w:cs="Arial"/>
          <w:bCs/>
        </w:rPr>
        <w:t xml:space="preserve"> i</w:t>
      </w:r>
      <w:r w:rsidRPr="00587BCF">
        <w:rPr>
          <w:rFonts w:cs="Arial"/>
        </w:rPr>
        <w:t>ndiquer quel est l’impact environnemental</w:t>
      </w:r>
      <w:r>
        <w:rPr>
          <w:rFonts w:cs="Arial"/>
        </w:rPr>
        <w:t xml:space="preserve"> majeur du dioxyde de carbone.</w:t>
      </w:r>
    </w:p>
    <w:p w:rsidR="006175AE" w:rsidRDefault="007B0127" w:rsidP="006175AE">
      <w:pPr>
        <w:spacing w:after="240"/>
        <w:jc w:val="both"/>
        <w:rPr>
          <w:rFonts w:cs="Arial"/>
        </w:rPr>
      </w:pPr>
      <w:r w:rsidRPr="00587BCF">
        <w:rPr>
          <w:rFonts w:cs="Arial"/>
          <w:b/>
          <w:bCs/>
        </w:rPr>
        <w:t>7-</w:t>
      </w:r>
      <w:r w:rsidRPr="00587BCF">
        <w:rPr>
          <w:rFonts w:cs="Arial"/>
        </w:rPr>
        <w:t xml:space="preserve"> Identifier les 3 secteurs d’activité émettant le plus de particules fines,</w:t>
      </w:r>
      <w:r>
        <w:rPr>
          <w:rFonts w:cs="Arial"/>
        </w:rPr>
        <w:t xml:space="preserve"> à partir du d</w:t>
      </w:r>
      <w:r w:rsidRPr="00587BCF">
        <w:rPr>
          <w:rFonts w:cs="Arial"/>
        </w:rPr>
        <w:t>ocument 2</w:t>
      </w:r>
      <w:r>
        <w:rPr>
          <w:rFonts w:cs="Arial"/>
        </w:rPr>
        <w:t xml:space="preserve"> de la page suivante</w:t>
      </w:r>
      <w:r w:rsidRPr="00587BCF">
        <w:rPr>
          <w:rFonts w:cs="Arial"/>
        </w:rPr>
        <w:t>.</w:t>
      </w:r>
    </w:p>
    <w:p w:rsidR="00F61D89" w:rsidRDefault="007B0127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F61D89" w:rsidRPr="00587BCF" w:rsidRDefault="007B0127" w:rsidP="006175AE">
      <w:pPr>
        <w:spacing w:after="240"/>
        <w:jc w:val="both"/>
        <w:rPr>
          <w:rFonts w:cs="Arial"/>
        </w:rPr>
      </w:pPr>
    </w:p>
    <w:p w:rsidR="006175AE" w:rsidRPr="00587BCF" w:rsidRDefault="007B0127" w:rsidP="00C5771D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ind w:left="1701" w:hanging="1701"/>
        <w:jc w:val="both"/>
        <w:rPr>
          <w:rFonts w:ascii="Arial" w:hAnsi="Arial"/>
        </w:rPr>
      </w:pPr>
      <w:r w:rsidRPr="00587BCF">
        <w:rPr>
          <w:rFonts w:ascii="Arial" w:hAnsi="Arial"/>
          <w:b/>
          <w:bCs/>
          <w:u w:val="single"/>
        </w:rPr>
        <w:t>Document 2 :</w:t>
      </w:r>
      <w:r>
        <w:rPr>
          <w:rFonts w:ascii="Arial" w:hAnsi="Arial"/>
          <w:b/>
          <w:bCs/>
        </w:rPr>
        <w:t>  R</w:t>
      </w:r>
      <w:r w:rsidRPr="00587BCF">
        <w:rPr>
          <w:rFonts w:ascii="Arial" w:hAnsi="Arial"/>
          <w:b/>
          <w:bCs/>
        </w:rPr>
        <w:t xml:space="preserve">épartition (en %) par grands secteurs d’activité des émissions annuelles de particules fines </w:t>
      </w:r>
      <w:r>
        <w:rPr>
          <w:rFonts w:ascii="Arial" w:hAnsi="Arial"/>
          <w:b/>
          <w:bCs/>
        </w:rPr>
        <w:t xml:space="preserve">de dimensions </w:t>
      </w:r>
      <w:r w:rsidRPr="00587BCF">
        <w:rPr>
          <w:rFonts w:ascii="Arial" w:hAnsi="Arial"/>
          <w:b/>
          <w:bCs/>
        </w:rPr>
        <w:t xml:space="preserve">inférieures à </w:t>
      </w:r>
      <m:oMath>
        <m:r>
          <m:rPr>
            <m:sty m:val="bi"/>
          </m:rPr>
          <w:rPr>
            <w:rFonts w:ascii="Cambria Math" w:hAnsi="Cambria Math"/>
          </w:rPr>
          <m:t>2</m:t>
        </m:r>
        <m:r>
          <m:rPr>
            <m:sty m:val="bi"/>
          </m:rPr>
          <w:rPr>
            <w:rFonts w:ascii="Cambria Math" w:hAnsi="Cambria Math"/>
          </w:rPr>
          <m:t>,</m:t>
        </m:r>
        <m:r>
          <m:rPr>
            <m:sty m:val="bi"/>
          </m:rPr>
          <w:rPr>
            <w:rFonts w:ascii="Cambria Math" w:hAnsi="Cambria Math"/>
          </w:rPr>
          <m:t>5</m:t>
        </m:r>
        <m:r>
          <m:rPr>
            <m:sty m:val="bi"/>
          </m:rPr>
          <w:rPr>
            <w:rFonts w:ascii="Cambria Math" w:hAnsi="Cambria Math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μm</m:t>
        </m:r>
      </m:oMath>
      <w:r w:rsidRPr="00587BCF">
        <w:rPr>
          <w:rFonts w:ascii="Arial" w:hAnsi="Arial"/>
          <w:b/>
          <w:bCs/>
        </w:rPr>
        <w:t xml:space="preserve"> (PM 2,5) en Ile-de-France</w:t>
      </w:r>
      <w:r w:rsidRPr="00587BCF">
        <w:rPr>
          <w:rFonts w:ascii="Arial" w:hAnsi="Arial"/>
        </w:rPr>
        <w:t xml:space="preserve"> </w:t>
      </w:r>
    </w:p>
    <w:p w:rsidR="006175AE" w:rsidRDefault="007B0127" w:rsidP="006175AE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rFonts w:cs="Arial"/>
          <w:bCs/>
          <w:i/>
          <w:sz w:val="20"/>
        </w:rPr>
      </w:pPr>
      <w:r w:rsidRPr="00587BCF">
        <w:rPr>
          <w:rFonts w:cs="Arial"/>
          <w:b/>
          <w:bCs/>
          <w:noProof/>
        </w:rPr>
        <w:drawing>
          <wp:inline distT="0" distB="0" distL="0" distR="0" wp14:anchorId="53455DC4" wp14:editId="11E43FA1">
            <wp:extent cx="4689960" cy="2253740"/>
            <wp:effectExtent l="0" t="0" r="0" b="0"/>
            <wp:docPr id="1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52" b="1695"/>
                    <a:stretch/>
                  </pic:blipFill>
                  <pic:spPr bwMode="auto">
                    <a:xfrm>
                      <a:off x="0" y="0"/>
                      <a:ext cx="4718850" cy="2267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75AE" w:rsidRPr="00573428" w:rsidRDefault="007B0127" w:rsidP="00573428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right"/>
        <w:rPr>
          <w:rFonts w:cs="Arial"/>
          <w:b/>
          <w:bCs/>
        </w:rPr>
      </w:pPr>
      <w:r w:rsidRPr="006175AE">
        <w:rPr>
          <w:rFonts w:cs="Arial"/>
          <w:bCs/>
          <w:i/>
          <w:sz w:val="20"/>
        </w:rPr>
        <w:t xml:space="preserve">Source : d’après </w:t>
      </w:r>
      <w:r w:rsidRPr="006175AE">
        <w:rPr>
          <w:rFonts w:cs="Arial"/>
          <w:i/>
          <w:sz w:val="20"/>
        </w:rPr>
        <w:t>Airparif 2007</w:t>
      </w:r>
    </w:p>
    <w:p w:rsidR="00F61D89" w:rsidRDefault="007B0127" w:rsidP="00402F3F">
      <w:pPr>
        <w:spacing w:after="240"/>
        <w:jc w:val="both"/>
        <w:rPr>
          <w:rFonts w:cs="Arial"/>
          <w:b/>
          <w:bCs/>
        </w:rPr>
      </w:pPr>
    </w:p>
    <w:p w:rsidR="00DD60D6" w:rsidRDefault="007B0127" w:rsidP="00402F3F">
      <w:pPr>
        <w:spacing w:after="240"/>
        <w:jc w:val="both"/>
        <w:rPr>
          <w:rFonts w:cs="Arial"/>
        </w:rPr>
      </w:pPr>
      <w:r w:rsidRPr="00587BCF">
        <w:rPr>
          <w:rFonts w:cs="Arial"/>
          <w:b/>
          <w:bCs/>
        </w:rPr>
        <w:t>8-</w:t>
      </w:r>
      <w:r w:rsidRPr="00587BCF">
        <w:rPr>
          <w:rFonts w:cs="Arial"/>
        </w:rPr>
        <w:t xml:space="preserve"> À partir de l’étude présentée dans le document 3</w:t>
      </w:r>
      <w:r>
        <w:rPr>
          <w:rFonts w:cs="Arial"/>
        </w:rPr>
        <w:t xml:space="preserve"> de la page suivante</w:t>
      </w:r>
      <w:r w:rsidRPr="00587BCF">
        <w:rPr>
          <w:rFonts w:cs="Arial"/>
        </w:rPr>
        <w:t xml:space="preserve">, </w:t>
      </w:r>
      <w:r>
        <w:rPr>
          <w:rFonts w:cs="Arial"/>
        </w:rPr>
        <w:t>rédiger un texte argumenté expliquant</w:t>
      </w:r>
      <w:r w:rsidRPr="00587BCF">
        <w:rPr>
          <w:rFonts w:cs="Arial"/>
        </w:rPr>
        <w:t xml:space="preserve"> la signification du chiffre : « 48000 décès par an en France sont dus à la pollution ».</w:t>
      </w:r>
    </w:p>
    <w:p w:rsidR="00DD60D6" w:rsidRDefault="007B0127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6175AE" w:rsidRPr="00587BCF" w:rsidRDefault="007B0127" w:rsidP="00402F3F">
      <w:pPr>
        <w:spacing w:after="240"/>
        <w:jc w:val="both"/>
        <w:rPr>
          <w:rFonts w:cs="Arial"/>
        </w:rPr>
      </w:pPr>
    </w:p>
    <w:p w:rsidR="001055C5" w:rsidRPr="00587BCF" w:rsidRDefault="007B0127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ind w:left="1701" w:hanging="1701"/>
        <w:jc w:val="both"/>
        <w:rPr>
          <w:rFonts w:ascii="Arial" w:hAnsi="Arial"/>
          <w:b/>
          <w:bCs/>
        </w:rPr>
      </w:pPr>
      <w:r w:rsidRPr="00587BCF">
        <w:rPr>
          <w:rFonts w:ascii="Arial" w:hAnsi="Arial"/>
          <w:b/>
          <w:bCs/>
          <w:u w:val="single"/>
        </w:rPr>
        <w:t>Document 3 :</w:t>
      </w:r>
      <w:r>
        <w:rPr>
          <w:rFonts w:ascii="Arial" w:hAnsi="Arial"/>
          <w:b/>
          <w:bCs/>
        </w:rPr>
        <w:t>  Im</w:t>
      </w:r>
      <w:r w:rsidRPr="00587BCF">
        <w:rPr>
          <w:rFonts w:ascii="Arial" w:hAnsi="Arial"/>
          <w:b/>
          <w:bCs/>
        </w:rPr>
        <w:t>pacts sanitaires de la pollution de l'air en France (2016)</w:t>
      </w:r>
    </w:p>
    <w:p w:rsidR="00587BCF" w:rsidRPr="00BE4405" w:rsidRDefault="007B0127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 xml:space="preserve">La plupart des sources de </w:t>
      </w:r>
      <w:r w:rsidRPr="00BE4405">
        <w:rPr>
          <w:rFonts w:ascii="Arial" w:hAnsi="Arial"/>
          <w:sz w:val="22"/>
          <w:szCs w:val="22"/>
        </w:rPr>
        <w:t>pollution atmosphériques émettent des particules fines de diamètre inférieur à 2,5 micromètres (PM</w:t>
      </w:r>
      <w:r w:rsidRPr="00BE4405">
        <w:rPr>
          <w:rFonts w:ascii="Arial" w:hAnsi="Arial"/>
          <w:sz w:val="22"/>
          <w:szCs w:val="22"/>
          <w:vertAlign w:val="subscript"/>
        </w:rPr>
        <w:t>2.5</w:t>
      </w:r>
      <w:r w:rsidRPr="00BE4405">
        <w:rPr>
          <w:rFonts w:ascii="Arial" w:hAnsi="Arial"/>
          <w:sz w:val="22"/>
          <w:szCs w:val="22"/>
        </w:rPr>
        <w:t>) : transports, résidentiel/tertiaire, agriculture, industrie. Leur contribution relative à la pollution atmosphérique varie cependant selon le lieu.</w:t>
      </w:r>
    </w:p>
    <w:p w:rsidR="001055C5" w:rsidRPr="00BE4405" w:rsidRDefault="007B0127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Désir</w:t>
      </w:r>
      <w:r w:rsidRPr="00BE4405">
        <w:rPr>
          <w:rFonts w:ascii="Arial" w:hAnsi="Arial"/>
          <w:sz w:val="22"/>
          <w:szCs w:val="22"/>
        </w:rPr>
        <w:t>ant déterminer l’effet qu’une réduction de pollution aurait sur la mortalité prématurée en France, les chercheurs ont recueilli pour l’année 2007 les mesures de concentrations moyennes en particules fines PM</w:t>
      </w:r>
      <w:r w:rsidRPr="00BE4405">
        <w:rPr>
          <w:rFonts w:ascii="Arial" w:hAnsi="Arial"/>
          <w:sz w:val="22"/>
          <w:szCs w:val="22"/>
          <w:vertAlign w:val="subscript"/>
        </w:rPr>
        <w:t>2.5</w:t>
      </w:r>
      <w:r w:rsidRPr="00BE4405">
        <w:rPr>
          <w:rFonts w:ascii="Arial" w:hAnsi="Arial"/>
          <w:sz w:val="22"/>
          <w:szCs w:val="22"/>
        </w:rPr>
        <w:t xml:space="preserve"> et le nombre total de décès. </w:t>
      </w:r>
    </w:p>
    <w:p w:rsidR="001055C5" w:rsidRPr="00BE4405" w:rsidRDefault="007B0127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6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Ils ont ensuite</w:t>
      </w:r>
      <w:r w:rsidRPr="00BE4405">
        <w:rPr>
          <w:rFonts w:ascii="Arial" w:hAnsi="Arial"/>
          <w:sz w:val="22"/>
          <w:szCs w:val="22"/>
        </w:rPr>
        <w:t xml:space="preserve"> appliqué une relation mathématique, établie dans des études précédentes, afin de calculer l’effet de différents scénarios :</w:t>
      </w:r>
    </w:p>
    <w:p w:rsidR="006E368F" w:rsidRPr="00BE4405" w:rsidRDefault="007B0127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6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• réduction à 4,9 µg.m</w:t>
      </w:r>
      <w:r w:rsidRPr="00BE4405">
        <w:rPr>
          <w:rFonts w:ascii="Arial" w:hAnsi="Arial"/>
          <w:sz w:val="22"/>
          <w:szCs w:val="22"/>
          <w:vertAlign w:val="superscript"/>
        </w:rPr>
        <w:t>-3</w:t>
      </w:r>
      <w:r w:rsidRPr="00BE4405">
        <w:rPr>
          <w:rFonts w:ascii="Arial" w:hAnsi="Arial"/>
          <w:sz w:val="22"/>
          <w:szCs w:val="22"/>
        </w:rPr>
        <w:t>, valeur que l’on peut mesurer dans des villages de haute montagne à faible activité économique ;</w:t>
      </w:r>
    </w:p>
    <w:p w:rsidR="001055C5" w:rsidRPr="00BE4405" w:rsidRDefault="007B0127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6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• réduction à 10 µg.m</w:t>
      </w:r>
      <w:r w:rsidRPr="00BE4405">
        <w:rPr>
          <w:rFonts w:ascii="Arial" w:hAnsi="Arial"/>
          <w:sz w:val="22"/>
          <w:szCs w:val="22"/>
          <w:vertAlign w:val="superscript"/>
        </w:rPr>
        <w:t>-3</w:t>
      </w:r>
      <w:r w:rsidRPr="00BE4405">
        <w:rPr>
          <w:rFonts w:ascii="Arial" w:hAnsi="Arial"/>
          <w:sz w:val="22"/>
          <w:szCs w:val="22"/>
        </w:rPr>
        <w:t>, valeur recommandée par l’OMS ;</w:t>
      </w:r>
    </w:p>
    <w:p w:rsidR="001055C5" w:rsidRPr="00BE4405" w:rsidRDefault="007B0127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• réduction à 15 µg.m</w:t>
      </w:r>
      <w:r w:rsidRPr="00BE4405">
        <w:rPr>
          <w:rFonts w:ascii="Arial" w:hAnsi="Arial"/>
          <w:sz w:val="22"/>
          <w:szCs w:val="22"/>
          <w:vertAlign w:val="superscript"/>
        </w:rPr>
        <w:t>-3</w:t>
      </w:r>
      <w:r w:rsidRPr="00BE4405">
        <w:rPr>
          <w:rFonts w:ascii="Arial" w:hAnsi="Arial"/>
          <w:sz w:val="22"/>
          <w:szCs w:val="22"/>
        </w:rPr>
        <w:t>, objectif fixé par le Plan national santé-environnement de 2009.</w:t>
      </w:r>
    </w:p>
    <w:p w:rsidR="001055C5" w:rsidRPr="00BE4405" w:rsidRDefault="007B0127" w:rsidP="00BE4405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24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La population française en 2019 est de 65 millions d’habitants.</w:t>
      </w:r>
    </w:p>
    <w:p w:rsidR="001055C5" w:rsidRPr="00BE4405" w:rsidRDefault="007B0127" w:rsidP="00FC6BE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center"/>
        <w:rPr>
          <w:rFonts w:cs="Arial"/>
          <w:b/>
          <w:bCs/>
          <w:iCs/>
          <w:sz w:val="22"/>
          <w:szCs w:val="22"/>
        </w:rPr>
      </w:pPr>
      <w:r w:rsidRPr="00BE4405">
        <w:rPr>
          <w:rFonts w:cs="Arial"/>
          <w:b/>
          <w:bCs/>
          <w:iCs/>
          <w:sz w:val="22"/>
          <w:szCs w:val="22"/>
        </w:rPr>
        <w:t xml:space="preserve">Nombre de morts qui auraient été évités dans </w:t>
      </w:r>
      <w:r w:rsidRPr="00BE4405">
        <w:rPr>
          <w:rFonts w:cs="Arial"/>
          <w:b/>
          <w:bCs/>
          <w:iCs/>
          <w:sz w:val="22"/>
          <w:szCs w:val="22"/>
        </w:rPr>
        <w:t>l’année</w:t>
      </w:r>
      <w:r w:rsidRPr="00BE4405">
        <w:rPr>
          <w:rFonts w:cs="Arial"/>
          <w:b/>
          <w:bCs/>
          <w:iCs/>
          <w:sz w:val="22"/>
          <w:szCs w:val="22"/>
        </w:rPr>
        <w:br/>
        <w:t>selon la modélisation réalisée par les chercheurs</w:t>
      </w:r>
    </w:p>
    <w:p w:rsidR="001055C5" w:rsidRPr="00587BCF" w:rsidRDefault="007B0127" w:rsidP="006E368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center"/>
        <w:rPr>
          <w:rFonts w:cs="Arial"/>
          <w:i/>
        </w:rPr>
      </w:pPr>
      <w:r w:rsidRPr="00587BCF">
        <w:rPr>
          <w:rFonts w:cs="Arial"/>
          <w:noProof/>
        </w:rPr>
        <w:drawing>
          <wp:inline distT="0" distB="0" distL="0" distR="0" wp14:anchorId="409D566E" wp14:editId="5575F2EA">
            <wp:extent cx="3543300" cy="2573196"/>
            <wp:effectExtent l="0" t="0" r="0" b="0"/>
            <wp:docPr id="2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38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06635" cy="2619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7BCF" w:rsidRPr="00587BCF" w:rsidRDefault="007B0127" w:rsidP="00DD60D6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/>
        <w:jc w:val="right"/>
        <w:rPr>
          <w:rFonts w:cs="Arial"/>
          <w:i/>
        </w:rPr>
      </w:pPr>
      <w:r w:rsidRPr="006175AE">
        <w:rPr>
          <w:rFonts w:cs="Arial"/>
          <w:i/>
          <w:sz w:val="20"/>
        </w:rPr>
        <w:t>Source : d’après Santé Publique France</w:t>
      </w:r>
      <w:r w:rsidRPr="00587BCF">
        <w:rPr>
          <w:rFonts w:cs="Arial"/>
          <w:i/>
        </w:rPr>
        <w:t xml:space="preserve"> </w:t>
      </w:r>
    </w:p>
    <w:p w:rsidR="00FF29D6" w:rsidRPr="00587BCF" w:rsidRDefault="007B0127" w:rsidP="00E06C26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right"/>
        <w:rPr>
          <w:rFonts w:cs="Arial"/>
          <w:sz w:val="18"/>
          <w:szCs w:val="18"/>
        </w:rPr>
      </w:pPr>
      <w:hyperlink r:id="rId12" w:history="1">
        <w:r w:rsidRPr="00587BCF">
          <w:rPr>
            <w:rStyle w:val="Lienhypertexte"/>
            <w:rFonts w:cs="Arial"/>
            <w:i/>
            <w:sz w:val="18"/>
            <w:szCs w:val="18"/>
          </w:rPr>
          <w:t>https</w:t>
        </w:r>
        <w:r w:rsidRPr="00587BCF">
          <w:rPr>
            <w:rStyle w:val="Lienhypertexte"/>
            <w:rFonts w:cs="Arial"/>
            <w:i/>
            <w:sz w:val="18"/>
            <w:szCs w:val="18"/>
          </w:rPr>
          <w:t>://www.santepubliquefrance.fr/presse/2016/impacts-sanitaires-de-la-pollution-de-l-air-en-france-nouvelles-donnees-et-perspectives</w:t>
        </w:r>
      </w:hyperlink>
      <w:r>
        <w:br w:type="page"/>
      </w:r>
    </w:p>
    <w:p w:rsidR="003B3C98" w:rsidRPr="00A77456" w:rsidRDefault="007B0127" w:rsidP="003B3C98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3B3C98" w:rsidRPr="00A77456" w:rsidRDefault="007B0127" w:rsidP="003B3C98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3B3C98" w:rsidRPr="00D87AD1" w:rsidRDefault="007B0127" w:rsidP="003B3C98">
      <w:pPr>
        <w:spacing w:after="120"/>
        <w:rPr>
          <w:b/>
          <w:sz w:val="22"/>
        </w:rPr>
      </w:pPr>
      <w:r>
        <w:rPr>
          <w:b/>
          <w:sz w:val="28"/>
        </w:rPr>
        <w:t>Autotest et dépistage du VIH</w:t>
      </w:r>
    </w:p>
    <w:p w:rsidR="003B3C98" w:rsidRPr="000E2C8B" w:rsidRDefault="007B0127" w:rsidP="003B3C98">
      <w:pPr>
        <w:spacing w:after="0"/>
        <w:rPr>
          <w:i/>
        </w:rPr>
      </w:pPr>
      <w:r w:rsidRPr="00D74F67">
        <w:rPr>
          <w:i/>
        </w:rPr>
        <w:t>Sur 10 points</w:t>
      </w:r>
    </w:p>
    <w:p w:rsidR="003B3C98" w:rsidRPr="009825E2" w:rsidRDefault="007B0127" w:rsidP="003B3C98">
      <w:pPr>
        <w:shd w:val="clear" w:color="auto" w:fill="FFFFFF"/>
        <w:spacing w:after="0" w:line="276" w:lineRule="auto"/>
        <w:rPr>
          <w:rFonts w:eastAsia="Arial" w:cs="Arial"/>
        </w:rPr>
      </w:pPr>
    </w:p>
    <w:p w:rsidR="00A21BAF" w:rsidRPr="00E862F3" w:rsidRDefault="007B0127" w:rsidP="009E7F9F">
      <w:pPr>
        <w:jc w:val="both"/>
      </w:pPr>
      <w:r>
        <w:t xml:space="preserve">Un groupe de lycéens discute de l’intérêt d’acheter et de pratiquer un autotest de dépistage du VIH vendu sans ordonnance en pharmacie. </w:t>
      </w:r>
      <w:r w:rsidRPr="00E862F3">
        <w:t>Ils décident de consulter la notice</w:t>
      </w:r>
      <w:r>
        <w:t xml:space="preserve"> disponible sur Internet.</w:t>
      </w:r>
      <w: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E7F9F" w:rsidRPr="009E7F9F" w:rsidTr="00A52E5B">
        <w:trPr>
          <w:trHeight w:val="2512"/>
        </w:trPr>
        <w:tc>
          <w:tcPr>
            <w:tcW w:w="9060" w:type="dxa"/>
          </w:tcPr>
          <w:p w:rsidR="009E7F9F" w:rsidRPr="009E7F9F" w:rsidRDefault="007B0127" w:rsidP="009E7F9F">
            <w:pPr>
              <w:spacing w:before="120" w:after="120"/>
              <w:rPr>
                <w:b/>
                <w:bCs/>
              </w:rPr>
            </w:pPr>
            <w:r w:rsidRPr="009E7F9F">
              <w:rPr>
                <w:b/>
                <w:bCs/>
                <w:u w:val="single"/>
              </w:rPr>
              <w:t>Document 1</w:t>
            </w:r>
            <w:r w:rsidRPr="009E7F9F">
              <w:rPr>
                <w:b/>
                <w:bCs/>
              </w:rPr>
              <w:t> : extrait de la notice d’un autotest de détermi</w:t>
            </w:r>
            <w:r w:rsidRPr="009E7F9F">
              <w:rPr>
                <w:b/>
                <w:bCs/>
              </w:rPr>
              <w:t xml:space="preserve">nation du VIH </w:t>
            </w:r>
          </w:p>
          <w:p w:rsidR="009E7F9F" w:rsidRPr="009E7F9F" w:rsidRDefault="007B0127" w:rsidP="00A52E5B">
            <w:pPr>
              <w:spacing w:after="120"/>
            </w:pPr>
            <w:r w:rsidRPr="009E7F9F">
              <w:t>Performances diagnostiques du test :</w:t>
            </w:r>
          </w:p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6973"/>
              <w:gridCol w:w="1525"/>
            </w:tblGrid>
            <w:tr w:rsidR="009E7F9F" w:rsidRPr="009E7F9F" w:rsidTr="00A52E5B">
              <w:trPr>
                <w:jc w:val="center"/>
              </w:trPr>
              <w:tc>
                <w:tcPr>
                  <w:tcW w:w="6973" w:type="dxa"/>
                  <w:vAlign w:val="center"/>
                </w:tcPr>
                <w:p w:rsidR="009E7F9F" w:rsidRPr="009E7F9F" w:rsidRDefault="007B0127" w:rsidP="00A52E5B">
                  <w:pPr>
                    <w:spacing w:before="60" w:after="60"/>
                    <w:ind w:left="171"/>
                  </w:pPr>
                  <w:r w:rsidRPr="009E7F9F">
                    <w:rPr>
                      <w:b/>
                      <w:bCs/>
                    </w:rPr>
                    <w:t>Sensibilité</w:t>
                  </w:r>
                  <w:r w:rsidRPr="009E7F9F">
                    <w:t xml:space="preserve"> = probabilité d’un résultat positif du test chez un patient malade (infecté par le VIH)</w:t>
                  </w:r>
                </w:p>
              </w:tc>
              <w:tc>
                <w:tcPr>
                  <w:tcW w:w="1525" w:type="dxa"/>
                  <w:vAlign w:val="center"/>
                </w:tcPr>
                <w:p w:rsidR="009E7F9F" w:rsidRPr="009E7F9F" w:rsidRDefault="007B0127" w:rsidP="00A52E5B">
                  <w:pPr>
                    <w:spacing w:before="60" w:after="60"/>
                    <w:ind w:left="145"/>
                    <w:jc w:val="center"/>
                  </w:pPr>
                  <w:r w:rsidRPr="009E7F9F">
                    <w:t>96,70 %</w:t>
                  </w:r>
                </w:p>
              </w:tc>
            </w:tr>
            <w:tr w:rsidR="009E7F9F" w:rsidRPr="009E7F9F" w:rsidTr="00A52E5B">
              <w:trPr>
                <w:jc w:val="center"/>
              </w:trPr>
              <w:tc>
                <w:tcPr>
                  <w:tcW w:w="6973" w:type="dxa"/>
                  <w:vAlign w:val="center"/>
                </w:tcPr>
                <w:p w:rsidR="009E7F9F" w:rsidRPr="009E7F9F" w:rsidRDefault="007B0127" w:rsidP="00A52E5B">
                  <w:pPr>
                    <w:spacing w:before="60" w:after="60"/>
                    <w:ind w:left="171"/>
                  </w:pPr>
                  <w:r w:rsidRPr="009E7F9F">
                    <w:rPr>
                      <w:b/>
                      <w:bCs/>
                    </w:rPr>
                    <w:t>Spécificité</w:t>
                  </w:r>
                  <w:r w:rsidRPr="009E7F9F">
                    <w:t xml:space="preserve"> = probabilité d’un résultat négatif du test chez un patient non-malade (non infecté par le VIH)</w:t>
                  </w:r>
                </w:p>
              </w:tc>
              <w:tc>
                <w:tcPr>
                  <w:tcW w:w="1525" w:type="dxa"/>
                  <w:vAlign w:val="center"/>
                </w:tcPr>
                <w:p w:rsidR="009E7F9F" w:rsidRPr="009E7F9F" w:rsidRDefault="007B0127" w:rsidP="00A52E5B">
                  <w:pPr>
                    <w:spacing w:before="60" w:after="60"/>
                    <w:ind w:left="145"/>
                    <w:jc w:val="center"/>
                  </w:pPr>
                  <w:r w:rsidRPr="009E7F9F">
                    <w:t>99,42 %</w:t>
                  </w:r>
                </w:p>
              </w:tc>
            </w:tr>
          </w:tbl>
          <w:p w:rsidR="009E7F9F" w:rsidRPr="009E7F9F" w:rsidRDefault="007B0127" w:rsidP="00A526E6">
            <w:pPr>
              <w:rPr>
                <w:b/>
                <w:bCs/>
              </w:rPr>
            </w:pPr>
          </w:p>
        </w:tc>
      </w:tr>
    </w:tbl>
    <w:p w:rsidR="00A21BAF" w:rsidRDefault="007B0127" w:rsidP="00A52E5B">
      <w:pPr>
        <w:spacing w:before="240" w:after="240"/>
      </w:pPr>
      <w:r w:rsidRPr="00E862F3">
        <w:rPr>
          <w:b/>
          <w:bCs/>
        </w:rPr>
        <w:t>Prévalence</w:t>
      </w:r>
      <w:r>
        <w:t xml:space="preserve"> (probabilité qu’une personne soit malade dans la population) du VIH en France : 0,30 %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52E5B" w:rsidRPr="00A52E5B" w:rsidTr="00364AF8">
        <w:trPr>
          <w:trHeight w:val="2438"/>
        </w:trPr>
        <w:tc>
          <w:tcPr>
            <w:tcW w:w="9060" w:type="dxa"/>
          </w:tcPr>
          <w:p w:rsidR="00A52E5B" w:rsidRPr="00A52E5B" w:rsidRDefault="007B0127" w:rsidP="00364AF8">
            <w:pPr>
              <w:spacing w:before="120" w:after="0"/>
              <w:jc w:val="both"/>
              <w:rPr>
                <w:b/>
                <w:bCs/>
              </w:rPr>
            </w:pPr>
            <w:r w:rsidRPr="00A52E5B">
              <w:rPr>
                <w:b/>
                <w:bCs/>
                <w:u w:val="single"/>
              </w:rPr>
              <w:t>Document 2</w:t>
            </w:r>
            <w:r w:rsidRPr="00A52E5B">
              <w:rPr>
                <w:b/>
                <w:bCs/>
              </w:rPr>
              <w:t xml:space="preserve"> : Tableau de contingence pour un </w:t>
            </w:r>
            <w:r w:rsidRPr="00A52E5B">
              <w:rPr>
                <w:b/>
                <w:bCs/>
              </w:rPr>
              <w:t>groupe de 10 000 personnes de la population française testées avec l’autotest de dét</w:t>
            </w:r>
            <w:r>
              <w:rPr>
                <w:b/>
                <w:bCs/>
              </w:rPr>
              <w:t>ermination du VIH du document 1</w:t>
            </w:r>
          </w:p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407"/>
              <w:gridCol w:w="2407"/>
              <w:gridCol w:w="2407"/>
            </w:tblGrid>
            <w:tr w:rsidR="00A52E5B" w:rsidRPr="00A52E5B" w:rsidTr="00282A35">
              <w:trPr>
                <w:jc w:val="center"/>
              </w:trPr>
              <w:tc>
                <w:tcPr>
                  <w:tcW w:w="2407" w:type="dxa"/>
                  <w:tcBorders>
                    <w:top w:val="nil"/>
                    <w:left w:val="nil"/>
                  </w:tcBorders>
                </w:tcPr>
                <w:p w:rsidR="00A52E5B" w:rsidRPr="00A52E5B" w:rsidRDefault="007B0127" w:rsidP="00364AF8">
                  <w:pPr>
                    <w:spacing w:before="60" w:after="60"/>
                    <w:jc w:val="center"/>
                  </w:pPr>
                </w:p>
              </w:tc>
              <w:tc>
                <w:tcPr>
                  <w:tcW w:w="2407" w:type="dxa"/>
                </w:tcPr>
                <w:p w:rsidR="00A52E5B" w:rsidRPr="00A52E5B" w:rsidRDefault="007B0127" w:rsidP="00364AF8">
                  <w:pPr>
                    <w:spacing w:before="60" w:after="60"/>
                    <w:jc w:val="center"/>
                  </w:pPr>
                  <w:r w:rsidRPr="00A52E5B">
                    <w:t>Malade</w:t>
                  </w:r>
                </w:p>
              </w:tc>
              <w:tc>
                <w:tcPr>
                  <w:tcW w:w="2407" w:type="dxa"/>
                </w:tcPr>
                <w:p w:rsidR="00A52E5B" w:rsidRPr="00A52E5B" w:rsidRDefault="007B0127" w:rsidP="00364AF8">
                  <w:pPr>
                    <w:spacing w:before="60" w:after="60"/>
                    <w:jc w:val="center"/>
                  </w:pPr>
                  <w:r w:rsidRPr="00A52E5B">
                    <w:t>Non malade</w:t>
                  </w:r>
                </w:p>
              </w:tc>
            </w:tr>
            <w:tr w:rsidR="00A52E5B" w:rsidRPr="00A52E5B" w:rsidTr="00282A35">
              <w:trPr>
                <w:jc w:val="center"/>
              </w:trPr>
              <w:tc>
                <w:tcPr>
                  <w:tcW w:w="2407" w:type="dxa"/>
                </w:tcPr>
                <w:p w:rsidR="00A52E5B" w:rsidRPr="00A52E5B" w:rsidRDefault="007B0127" w:rsidP="00364AF8">
                  <w:pPr>
                    <w:spacing w:before="60" w:after="60"/>
                    <w:jc w:val="center"/>
                  </w:pPr>
                  <w:r w:rsidRPr="00A52E5B">
                    <w:t>Test positif</w:t>
                  </w:r>
                </w:p>
              </w:tc>
              <w:tc>
                <w:tcPr>
                  <w:tcW w:w="2407" w:type="dxa"/>
                </w:tcPr>
                <w:p w:rsidR="00A52E5B" w:rsidRPr="00A52E5B" w:rsidRDefault="007B0127" w:rsidP="00364AF8">
                  <w:pPr>
                    <w:spacing w:before="60" w:after="60"/>
                    <w:jc w:val="center"/>
                  </w:pPr>
                  <w:r w:rsidRPr="00A52E5B">
                    <w:t>29</w:t>
                  </w:r>
                </w:p>
              </w:tc>
              <w:tc>
                <w:tcPr>
                  <w:tcW w:w="2407" w:type="dxa"/>
                </w:tcPr>
                <w:p w:rsidR="00A52E5B" w:rsidRPr="00A52E5B" w:rsidRDefault="007B0127" w:rsidP="00364AF8">
                  <w:pPr>
                    <w:spacing w:before="60" w:after="60"/>
                    <w:jc w:val="center"/>
                  </w:pPr>
                  <w:r w:rsidRPr="00A52E5B">
                    <w:t>58</w:t>
                  </w:r>
                </w:p>
              </w:tc>
            </w:tr>
            <w:tr w:rsidR="00A52E5B" w:rsidRPr="00A52E5B" w:rsidTr="00282A35">
              <w:trPr>
                <w:jc w:val="center"/>
              </w:trPr>
              <w:tc>
                <w:tcPr>
                  <w:tcW w:w="2407" w:type="dxa"/>
                </w:tcPr>
                <w:p w:rsidR="00A52E5B" w:rsidRPr="00A52E5B" w:rsidRDefault="007B0127" w:rsidP="00364AF8">
                  <w:pPr>
                    <w:spacing w:before="60" w:after="60"/>
                    <w:jc w:val="center"/>
                  </w:pPr>
                  <w:r w:rsidRPr="00A52E5B">
                    <w:t>Test négatif</w:t>
                  </w:r>
                </w:p>
              </w:tc>
              <w:tc>
                <w:tcPr>
                  <w:tcW w:w="2407" w:type="dxa"/>
                </w:tcPr>
                <w:p w:rsidR="00A52E5B" w:rsidRPr="00A52E5B" w:rsidRDefault="007B0127" w:rsidP="00364AF8">
                  <w:pPr>
                    <w:spacing w:before="60" w:after="60"/>
                    <w:jc w:val="center"/>
                  </w:pPr>
                  <w:r w:rsidRPr="00A52E5B">
                    <w:t>1</w:t>
                  </w:r>
                </w:p>
              </w:tc>
              <w:tc>
                <w:tcPr>
                  <w:tcW w:w="2407" w:type="dxa"/>
                </w:tcPr>
                <w:p w:rsidR="00A52E5B" w:rsidRPr="00A52E5B" w:rsidRDefault="007B0127" w:rsidP="00364AF8">
                  <w:pPr>
                    <w:spacing w:before="60" w:after="60"/>
                    <w:jc w:val="center"/>
                  </w:pPr>
                  <w:r w:rsidRPr="00A52E5B">
                    <w:t>9912</w:t>
                  </w:r>
                </w:p>
              </w:tc>
            </w:tr>
          </w:tbl>
          <w:p w:rsidR="00A52E5B" w:rsidRPr="00A52E5B" w:rsidRDefault="007B0127" w:rsidP="002E34F2">
            <w:pPr>
              <w:rPr>
                <w:b/>
                <w:bCs/>
              </w:rPr>
            </w:pPr>
          </w:p>
        </w:tc>
      </w:tr>
    </w:tbl>
    <w:p w:rsidR="00A21BAF" w:rsidRDefault="007B0127" w:rsidP="00A21BAF"/>
    <w:p w:rsidR="00A21BAF" w:rsidRDefault="007B0127" w:rsidP="004F524A">
      <w:pPr>
        <w:suppressAutoHyphens/>
        <w:spacing w:after="0" w:line="240" w:lineRule="auto"/>
        <w:jc w:val="both"/>
      </w:pPr>
      <w:r w:rsidRPr="004F524A">
        <w:rPr>
          <w:b/>
        </w:rPr>
        <w:t>1-</w:t>
      </w:r>
      <w:r>
        <w:t xml:space="preserve"> Sur les 10 000 personnes testées dans le document 2, combien sont des </w:t>
      </w:r>
      <w:r>
        <w:t>« vrais positifs » ? Combien sont des « faux positifs » ?</w:t>
      </w:r>
    </w:p>
    <w:p w:rsidR="00A21BAF" w:rsidRDefault="007B0127" w:rsidP="00A21BAF">
      <w:pPr>
        <w:suppressAutoHyphens/>
        <w:spacing w:after="0" w:line="240" w:lineRule="auto"/>
        <w:ind w:left="720"/>
      </w:pPr>
    </w:p>
    <w:p w:rsidR="00A21BAF" w:rsidRDefault="007B0127" w:rsidP="004F524A">
      <w:pPr>
        <w:suppressAutoHyphens/>
        <w:spacing w:after="0" w:line="240" w:lineRule="auto"/>
        <w:jc w:val="both"/>
      </w:pPr>
      <w:r w:rsidRPr="004F524A">
        <w:rPr>
          <w:b/>
        </w:rPr>
        <w:t>2-</w:t>
      </w:r>
      <w:r>
        <w:t xml:space="preserve"> En déduire, pour le groupe testé, la fréquence de vrais positifs, c’est-à-dire le pourcentage de personnes réellement malades parmi les résultats positifs au test.</w:t>
      </w:r>
    </w:p>
    <w:p w:rsidR="004F524A" w:rsidRDefault="007B0127" w:rsidP="004F524A">
      <w:pPr>
        <w:suppressAutoHyphens/>
        <w:spacing w:after="0" w:line="240" w:lineRule="auto"/>
        <w:jc w:val="both"/>
      </w:pPr>
    </w:p>
    <w:p w:rsidR="00A21BAF" w:rsidRDefault="007B0127" w:rsidP="004F524A">
      <w:pPr>
        <w:suppressAutoHyphens/>
        <w:spacing w:after="0" w:line="240" w:lineRule="auto"/>
        <w:jc w:val="both"/>
      </w:pPr>
      <w:r w:rsidRPr="004F524A">
        <w:rPr>
          <w:b/>
        </w:rPr>
        <w:t xml:space="preserve">3- </w:t>
      </w:r>
      <w:r>
        <w:t xml:space="preserve">Montrer que seules 0,01 % </w:t>
      </w:r>
      <w:r>
        <w:t>des personnes ayant un résultat négatif au test sont en réalité malades (fréquence de faux négatifs).</w:t>
      </w:r>
    </w:p>
    <w:p w:rsidR="00A21BAF" w:rsidRDefault="007B0127" w:rsidP="004F524A">
      <w:pPr>
        <w:suppressAutoHyphens/>
        <w:spacing w:after="0" w:line="240" w:lineRule="auto"/>
      </w:pPr>
    </w:p>
    <w:p w:rsidR="00A21BAF" w:rsidRDefault="007B0127" w:rsidP="00156ECA">
      <w:pPr>
        <w:suppressAutoHyphens/>
        <w:spacing w:after="0" w:line="240" w:lineRule="auto"/>
        <w:jc w:val="both"/>
      </w:pPr>
      <w:r w:rsidRPr="00156ECA">
        <w:rPr>
          <w:b/>
        </w:rPr>
        <w:lastRenderedPageBreak/>
        <w:t>4-</w:t>
      </w:r>
      <w:r>
        <w:t xml:space="preserve"> En Afrique du Sud, la prévalence </w:t>
      </w:r>
      <w:r w:rsidRPr="00B837B2">
        <w:t>du</w:t>
      </w:r>
      <w:r>
        <w:t xml:space="preserve"> VIH est de 18,9 % : sur un groupe de 10 000 personnes, combien sont malades ?</w:t>
      </w:r>
    </w:p>
    <w:p w:rsidR="00A21BAF" w:rsidRDefault="007B0127" w:rsidP="00A21BAF">
      <w:pPr>
        <w:suppressAutoHyphens/>
        <w:spacing w:after="0" w:line="240" w:lineRule="auto"/>
      </w:pPr>
    </w:p>
    <w:p w:rsidR="00A21BAF" w:rsidRDefault="007B0127" w:rsidP="00EE1AF4">
      <w:pPr>
        <w:suppressAutoHyphens/>
        <w:spacing w:after="240" w:line="240" w:lineRule="auto"/>
        <w:jc w:val="both"/>
      </w:pPr>
      <w:r w:rsidRPr="00156ECA">
        <w:rPr>
          <w:b/>
        </w:rPr>
        <w:t>5-</w:t>
      </w:r>
      <w:r>
        <w:t xml:space="preserve"> </w:t>
      </w:r>
      <w:r>
        <w:t xml:space="preserve">Recopier et compléter le tableau de contingence pour ce groupe de </w:t>
      </w:r>
      <w:r w:rsidRPr="00B837B2">
        <w:t>10</w:t>
      </w:r>
      <w:r>
        <w:t> </w:t>
      </w:r>
      <w:r w:rsidRPr="00B837B2">
        <w:t xml:space="preserve">000 personnes de la population </w:t>
      </w:r>
      <w:r>
        <w:t>sud-africaine</w:t>
      </w:r>
      <w:r w:rsidRPr="00B837B2">
        <w:t xml:space="preserve"> testées avec </w:t>
      </w:r>
      <w:r>
        <w:t>l’autotest de détermination du VIH du document 1 (on arrondira les résultats à l’unité).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407"/>
        <w:gridCol w:w="2407"/>
        <w:gridCol w:w="2407"/>
      </w:tblGrid>
      <w:tr w:rsidR="00A21BAF" w:rsidTr="00BE2E81">
        <w:trPr>
          <w:jc w:val="center"/>
        </w:trPr>
        <w:tc>
          <w:tcPr>
            <w:tcW w:w="2407" w:type="dxa"/>
            <w:tcBorders>
              <w:top w:val="nil"/>
              <w:left w:val="nil"/>
            </w:tcBorders>
          </w:tcPr>
          <w:p w:rsidR="00A21BAF" w:rsidRDefault="007B0127" w:rsidP="00BE2E81">
            <w:pPr>
              <w:jc w:val="center"/>
            </w:pPr>
          </w:p>
        </w:tc>
        <w:tc>
          <w:tcPr>
            <w:tcW w:w="2407" w:type="dxa"/>
          </w:tcPr>
          <w:p w:rsidR="00A21BAF" w:rsidRDefault="007B0127" w:rsidP="00BE2E81">
            <w:pPr>
              <w:jc w:val="center"/>
            </w:pPr>
            <w:r>
              <w:t>Malade</w:t>
            </w:r>
          </w:p>
        </w:tc>
        <w:tc>
          <w:tcPr>
            <w:tcW w:w="2407" w:type="dxa"/>
          </w:tcPr>
          <w:p w:rsidR="00A21BAF" w:rsidRDefault="007B0127" w:rsidP="00BE2E81">
            <w:pPr>
              <w:jc w:val="center"/>
            </w:pPr>
            <w:r>
              <w:t>Non malade</w:t>
            </w:r>
          </w:p>
        </w:tc>
      </w:tr>
      <w:tr w:rsidR="00A21BAF" w:rsidTr="00BE2E81">
        <w:trPr>
          <w:jc w:val="center"/>
        </w:trPr>
        <w:tc>
          <w:tcPr>
            <w:tcW w:w="2407" w:type="dxa"/>
          </w:tcPr>
          <w:p w:rsidR="00A21BAF" w:rsidRDefault="007B0127" w:rsidP="00BE2E81">
            <w:pPr>
              <w:jc w:val="center"/>
            </w:pPr>
            <w:r>
              <w:t>Test positif</w:t>
            </w:r>
          </w:p>
        </w:tc>
        <w:tc>
          <w:tcPr>
            <w:tcW w:w="2407" w:type="dxa"/>
          </w:tcPr>
          <w:p w:rsidR="00A21BAF" w:rsidRPr="003F7CEB" w:rsidRDefault="007B0127" w:rsidP="00BE2E81">
            <w:pPr>
              <w:jc w:val="center"/>
              <w:rPr>
                <w:color w:val="31849B" w:themeColor="accent5" w:themeShade="BF"/>
              </w:rPr>
            </w:pPr>
          </w:p>
        </w:tc>
        <w:tc>
          <w:tcPr>
            <w:tcW w:w="2407" w:type="dxa"/>
          </w:tcPr>
          <w:p w:rsidR="00A21BAF" w:rsidRPr="003F7CEB" w:rsidRDefault="007B0127" w:rsidP="00BE2E81">
            <w:pPr>
              <w:jc w:val="center"/>
              <w:rPr>
                <w:color w:val="31849B" w:themeColor="accent5" w:themeShade="BF"/>
              </w:rPr>
            </w:pPr>
          </w:p>
        </w:tc>
      </w:tr>
      <w:tr w:rsidR="00A21BAF" w:rsidTr="00BE2E81">
        <w:trPr>
          <w:jc w:val="center"/>
        </w:trPr>
        <w:tc>
          <w:tcPr>
            <w:tcW w:w="2407" w:type="dxa"/>
          </w:tcPr>
          <w:p w:rsidR="00A21BAF" w:rsidRDefault="007B0127" w:rsidP="00BE2E81">
            <w:pPr>
              <w:jc w:val="center"/>
            </w:pPr>
            <w:r>
              <w:t>Test</w:t>
            </w:r>
            <w:r>
              <w:t xml:space="preserve"> négatif</w:t>
            </w:r>
          </w:p>
        </w:tc>
        <w:tc>
          <w:tcPr>
            <w:tcW w:w="2407" w:type="dxa"/>
          </w:tcPr>
          <w:p w:rsidR="00A21BAF" w:rsidRPr="003F7CEB" w:rsidRDefault="007B0127" w:rsidP="00BE2E81">
            <w:pPr>
              <w:jc w:val="center"/>
              <w:rPr>
                <w:color w:val="31849B" w:themeColor="accent5" w:themeShade="BF"/>
              </w:rPr>
            </w:pPr>
          </w:p>
        </w:tc>
        <w:tc>
          <w:tcPr>
            <w:tcW w:w="2407" w:type="dxa"/>
          </w:tcPr>
          <w:p w:rsidR="00A21BAF" w:rsidRPr="003F7CEB" w:rsidRDefault="007B0127" w:rsidP="00BE2E81">
            <w:pPr>
              <w:jc w:val="center"/>
              <w:rPr>
                <w:color w:val="31849B" w:themeColor="accent5" w:themeShade="BF"/>
              </w:rPr>
            </w:pPr>
          </w:p>
        </w:tc>
      </w:tr>
    </w:tbl>
    <w:p w:rsidR="00A21BAF" w:rsidRPr="00156ECA" w:rsidRDefault="007B0127" w:rsidP="00EE1AF4">
      <w:pPr>
        <w:spacing w:before="240" w:after="240"/>
        <w:jc w:val="both"/>
      </w:pPr>
      <w:r w:rsidRPr="00156ECA">
        <w:rPr>
          <w:b/>
        </w:rPr>
        <w:t>6-</w:t>
      </w:r>
      <w:r>
        <w:t xml:space="preserve"> </w:t>
      </w:r>
      <w:r w:rsidRPr="00156ECA">
        <w:t>Montrer que la fréquence de vrais positifs, c’est-à-dire le pourcentage de personnes réellement malades quand le test est positif, est supérieure à 97 % en Afrique du Sud.</w:t>
      </w:r>
    </w:p>
    <w:p w:rsidR="00A21BAF" w:rsidRPr="00EE1AF4" w:rsidRDefault="007B0127" w:rsidP="00EE1AF4">
      <w:pPr>
        <w:spacing w:after="240"/>
        <w:jc w:val="both"/>
      </w:pPr>
      <w:r w:rsidRPr="00156ECA">
        <w:rPr>
          <w:b/>
        </w:rPr>
        <w:t>7-</w:t>
      </w:r>
      <w:r>
        <w:t xml:space="preserve"> </w:t>
      </w:r>
      <w:r w:rsidRPr="00156ECA">
        <w:t xml:space="preserve">Comparer les fréquences de vrais positifs </w:t>
      </w:r>
      <w:r w:rsidRPr="00156ECA">
        <w:rPr>
          <w:color w:val="000000" w:themeColor="text1"/>
        </w:rPr>
        <w:t>entre la France et de l’</w:t>
      </w:r>
      <w:r w:rsidRPr="00156ECA">
        <w:rPr>
          <w:color w:val="000000" w:themeColor="text1"/>
        </w:rPr>
        <w:t>Afrique du Sud</w:t>
      </w:r>
      <w:r w:rsidRPr="00156ECA">
        <w:t>, en lien avec la prévalence du VIH dans les populations considérées.</w:t>
      </w:r>
    </w:p>
    <w:p w:rsidR="00A21BAF" w:rsidRPr="00156ECA" w:rsidRDefault="007B0127" w:rsidP="00EE1AF4">
      <w:pPr>
        <w:jc w:val="both"/>
      </w:pPr>
      <w:r w:rsidRPr="00156ECA">
        <w:rPr>
          <w:b/>
        </w:rPr>
        <w:t>8-</w:t>
      </w:r>
      <w:r>
        <w:t xml:space="preserve"> </w:t>
      </w:r>
      <w:r w:rsidRPr="00156ECA">
        <w:t>En France, on recommande de réserver la pratique de ces autotests aux personnes ayant eu une situation à risques (rapport sexuel non protégé, exposition au sang, …) pour</w:t>
      </w:r>
      <w:r w:rsidRPr="00156ECA">
        <w:t xml:space="preserve"> lesquelles la prévalence est alors plus forte. Expliquer cette recommandation.</w:t>
      </w:r>
    </w:p>
    <w:sectPr w:rsidR="00A21BAF" w:rsidRPr="00156ECA" w:rsidSect="00E61EB3">
      <w:headerReference w:type="even" r:id="rId13"/>
      <w:headerReference w:type="default" r:id="rId14"/>
      <w:footerReference w:type="even" r:id="rId15"/>
      <w:footerReference w:type="default" r:id="rId16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4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B0127" w:rsidRPr="007B0127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B0127" w:rsidRPr="007B0127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3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B0127" w:rsidRPr="007B0127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7B0127" w:rsidRPr="007B0127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5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B0127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Contenudetableau">
    <w:name w:val="Contenu de tableau"/>
    <w:basedOn w:val="Normal"/>
    <w:qFormat/>
    <w:rsid w:val="00D82CFD"/>
    <w:pPr>
      <w:suppressLineNumbers/>
    </w:pPr>
    <w:rPr>
      <w:rFonts w:ascii="Liberation Serif" w:eastAsia="SimSun" w:hAnsi="Liberation Serif" w:cs="Arial"/>
      <w:color w:val="00000A"/>
      <w:lang w:eastAsia="zh-CN" w:bidi="hi-IN"/>
    </w:rPr>
  </w:style>
  <w:style w:type="character" w:styleId="Lienhypertexte">
    <w:name w:val="Hyperlink"/>
    <w:basedOn w:val="Policepardfaut"/>
    <w:uiPriority w:val="99"/>
    <w:unhideWhenUsed/>
    <w:rsid w:val="00587B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antepubliquefrance.fr/presse/2016/impacts-sanitaires-de-la-pollution-de-l-air-en-france-nouvelles-donnees-et-perspective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1206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