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806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806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8065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580654">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657308" w:rsidRPr="00A77456" w:rsidRDefault="00580654" w:rsidP="00657308">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657308" w:rsidRPr="00A77456" w:rsidRDefault="00580654" w:rsidP="00657308">
      <w:pPr>
        <w:spacing w:after="240"/>
        <w:jc w:val="center"/>
        <w:rPr>
          <w:rFonts w:eastAsia="Arial" w:cs="Arial"/>
          <w:i/>
        </w:rPr>
      </w:pPr>
      <w:r w:rsidRPr="00A77456">
        <w:rPr>
          <w:rFonts w:eastAsia="Arial" w:cs="Arial"/>
          <w:i/>
        </w:rPr>
        <w:t>Thème « </w:t>
      </w:r>
      <w:r>
        <w:rPr>
          <w:rFonts w:eastAsia="Arial" w:cs="Arial"/>
          <w:i/>
        </w:rPr>
        <w:t>Une histoire du vivant »</w:t>
      </w:r>
    </w:p>
    <w:p w:rsidR="00657308" w:rsidRPr="00D87AD1" w:rsidRDefault="00580654" w:rsidP="00657308">
      <w:pPr>
        <w:spacing w:after="120"/>
        <w:jc w:val="both"/>
        <w:rPr>
          <w:b/>
          <w:sz w:val="22"/>
        </w:rPr>
      </w:pPr>
      <w:r>
        <w:rPr>
          <w:b/>
          <w:sz w:val="28"/>
        </w:rPr>
        <w:t xml:space="preserve">Les conséquences de la géographie naturelle de l’île </w:t>
      </w:r>
      <w:r>
        <w:rPr>
          <w:b/>
          <w:sz w:val="28"/>
        </w:rPr>
        <w:t>de Bornéo et de la déforestation sur les populations d’orangs-outans</w:t>
      </w:r>
    </w:p>
    <w:p w:rsidR="00657308" w:rsidRPr="000E2C8B" w:rsidRDefault="00580654" w:rsidP="00657308">
      <w:pPr>
        <w:spacing w:after="240"/>
        <w:rPr>
          <w:i/>
        </w:rPr>
      </w:pPr>
      <w:r w:rsidRPr="00D74F67">
        <w:rPr>
          <w:i/>
        </w:rPr>
        <w:t>Sur 10 points</w:t>
      </w:r>
    </w:p>
    <w:p w:rsidR="00985FF1" w:rsidRDefault="00580654" w:rsidP="009C140F">
      <w:pPr>
        <w:spacing w:after="240"/>
        <w:jc w:val="both"/>
      </w:pPr>
      <w:r>
        <w:t>Située en Asie du Sud-Est, à la jonction entre l’océan Indien et l’océan Pacifique, l’île de Bornéo représente 1 % des terres émergées. Elle détient 6 % de la biodiversité e</w:t>
      </w:r>
      <w:r>
        <w:t xml:space="preserve">n lien avec sa richesse en écosystèmes (forêts tropicales, mangroves…). </w:t>
      </w:r>
      <w:r w:rsidRPr="001A6F9C">
        <w:t>Une des espèces emblématiques de ces écosystèmes est l'</w:t>
      </w:r>
      <w:r>
        <w:t>o</w:t>
      </w:r>
      <w:r w:rsidRPr="001A6F9C">
        <w:t>rang-outan de Bornéo (</w:t>
      </w:r>
      <w:r w:rsidRPr="001A6F9C">
        <w:rPr>
          <w:i/>
        </w:rPr>
        <w:t>Pongo pygmaeus</w:t>
      </w:r>
      <w:r w:rsidRPr="001A6F9C">
        <w:t>)</w:t>
      </w:r>
      <w:r>
        <w:t xml:space="preserve">. Cette espèce </w:t>
      </w:r>
      <w:r w:rsidRPr="00A82412">
        <w:t>est en danger critique d’extinction (selon l’UICN). L'espèce est menacée par</w:t>
      </w:r>
      <w:r w:rsidRPr="00A82412">
        <w:t xml:space="preserve"> la perte de son habitat naturel</w:t>
      </w:r>
      <w:r>
        <w:t xml:space="preserve"> et fait l’objet</w:t>
      </w:r>
      <w:r w:rsidRPr="001A6F9C">
        <w:t xml:space="preserve"> de projets de sauvegarde.</w:t>
      </w:r>
      <w: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2"/>
        <w:gridCol w:w="4736"/>
      </w:tblGrid>
      <w:tr w:rsidR="00B84C0F" w:rsidTr="009C140F">
        <w:trPr>
          <w:jc w:val="center"/>
        </w:trPr>
        <w:tc>
          <w:tcPr>
            <w:tcW w:w="3842" w:type="dxa"/>
          </w:tcPr>
          <w:p w:rsidR="00B84C0F" w:rsidRDefault="00580654" w:rsidP="008D18D4">
            <w:pPr>
              <w:jc w:val="center"/>
            </w:pPr>
            <w:r>
              <w:t>Orang-outan</w:t>
            </w:r>
          </w:p>
        </w:tc>
        <w:tc>
          <w:tcPr>
            <w:tcW w:w="4736" w:type="dxa"/>
          </w:tcPr>
          <w:p w:rsidR="00B84C0F" w:rsidRDefault="00580654" w:rsidP="008D18D4">
            <w:pPr>
              <w:jc w:val="center"/>
            </w:pPr>
            <w:r>
              <w:t>Île de Bornéo (Asie du Sud-Est)</w:t>
            </w:r>
          </w:p>
        </w:tc>
      </w:tr>
      <w:tr w:rsidR="00B84C0F" w:rsidTr="009C140F">
        <w:trPr>
          <w:jc w:val="center"/>
        </w:trPr>
        <w:tc>
          <w:tcPr>
            <w:tcW w:w="3842" w:type="dxa"/>
          </w:tcPr>
          <w:p w:rsidR="00B84C0F" w:rsidRDefault="00580654" w:rsidP="008D18D4">
            <w:pPr>
              <w:jc w:val="center"/>
            </w:pPr>
            <w:r>
              <w:rPr>
                <w:noProof/>
              </w:rPr>
              <w:drawing>
                <wp:inline distT="0" distB="0" distL="0" distR="0" wp14:anchorId="35255926" wp14:editId="74D9C704">
                  <wp:extent cx="2248524" cy="3248660"/>
                  <wp:effectExtent l="0" t="0" r="0" b="0"/>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736" w:type="dxa"/>
          </w:tcPr>
          <w:p w:rsidR="00B84C0F" w:rsidRDefault="00580654" w:rsidP="008D18D4">
            <w:pPr>
              <w:jc w:val="center"/>
            </w:pPr>
            <w:r>
              <w:rPr>
                <w:noProof/>
              </w:rPr>
              <w:drawing>
                <wp:inline distT="0" distB="0" distL="0" distR="0" wp14:anchorId="61B4D7D7" wp14:editId="71C948D1">
                  <wp:extent cx="2870200" cy="3035300"/>
                  <wp:effectExtent l="0" t="0" r="0" b="0"/>
                  <wp:docPr id="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4"/>
                          <pic:cNvPicPr/>
                        </pic:nvPicPr>
                        <pic:blipFill>
                          <a:blip r:embed="rId11"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inline>
              </w:drawing>
            </w:r>
          </w:p>
        </w:tc>
      </w:tr>
      <w:tr w:rsidR="00B84C0F" w:rsidTr="009C140F">
        <w:trPr>
          <w:jc w:val="center"/>
        </w:trPr>
        <w:tc>
          <w:tcPr>
            <w:tcW w:w="8578" w:type="dxa"/>
            <w:gridSpan w:val="2"/>
          </w:tcPr>
          <w:p w:rsidR="00B84C0F" w:rsidRDefault="00580654" w:rsidP="008D18D4">
            <w:pPr>
              <w:jc w:val="center"/>
              <w:rPr>
                <w:noProof/>
              </w:rPr>
            </w:pPr>
            <w:r w:rsidRPr="00F63135">
              <w:rPr>
                <w:sz w:val="20"/>
                <w:szCs w:val="20"/>
              </w:rPr>
              <w:t>Source : wikipedia</w:t>
            </w:r>
          </w:p>
        </w:tc>
      </w:tr>
    </w:tbl>
    <w:p w:rsidR="00FC1E14" w:rsidRDefault="00580654" w:rsidP="009C140F">
      <w:pPr>
        <w:spacing w:before="240"/>
        <w:jc w:val="both"/>
      </w:pPr>
      <w:r>
        <w:t xml:space="preserve">On s’intéresse aux conséquences possibles de la géographie de l’habitat et des activités humaines sur la </w:t>
      </w:r>
      <w:r>
        <w:t>diversité génétique des populations d'orangs-outans (</w:t>
      </w:r>
      <w:r w:rsidRPr="007F1953">
        <w:rPr>
          <w:i/>
        </w:rPr>
        <w:t>Pongo pygmaeus</w:t>
      </w:r>
      <w:r>
        <w:t>).</w:t>
      </w:r>
    </w:p>
    <w:p w:rsidR="00FC1E14" w:rsidRDefault="00580654">
      <w:pPr>
        <w:spacing w:after="0" w:line="240" w:lineRule="auto"/>
      </w:pPr>
      <w:r>
        <w:br w:type="page"/>
      </w:r>
    </w:p>
    <w:p w:rsidR="0096571C" w:rsidRDefault="00580654" w:rsidP="009C140F">
      <w:pPr>
        <w:spacing w:before="240"/>
        <w:jc w:val="both"/>
      </w:pPr>
    </w:p>
    <w:p w:rsidR="003D24D0" w:rsidRDefault="00580654" w:rsidP="009C140F">
      <w:pPr>
        <w:spacing w:before="240"/>
        <w:jc w:val="both"/>
      </w:pPr>
    </w:p>
    <w:p w:rsidR="003D24D0" w:rsidRDefault="00580654" w:rsidP="009C140F">
      <w:pPr>
        <w:spacing w:before="240"/>
        <w:jc w:val="both"/>
      </w:pPr>
    </w:p>
    <w:tbl>
      <w:tblPr>
        <w:tblStyle w:val="Grilledutableau"/>
        <w:tblW w:w="0" w:type="auto"/>
        <w:tblInd w:w="174" w:type="dxa"/>
        <w:tblBorders>
          <w:insideH w:val="none" w:sz="0" w:space="0" w:color="auto"/>
          <w:insideV w:val="none" w:sz="0" w:space="0" w:color="auto"/>
        </w:tblBorders>
        <w:tblLook w:val="04A0" w:firstRow="1" w:lastRow="0" w:firstColumn="1" w:lastColumn="0" w:noHBand="0" w:noVBand="1"/>
      </w:tblPr>
      <w:tblGrid>
        <w:gridCol w:w="8886"/>
      </w:tblGrid>
      <w:tr w:rsidR="00720F4B" w:rsidTr="003D24D0">
        <w:tc>
          <w:tcPr>
            <w:tcW w:w="8886" w:type="dxa"/>
            <w:tcBorders>
              <w:top w:val="single" w:sz="4" w:space="0" w:color="auto"/>
              <w:left w:val="single" w:sz="4" w:space="0" w:color="auto"/>
              <w:bottom w:val="nil"/>
              <w:right w:val="single" w:sz="4" w:space="0" w:color="auto"/>
            </w:tcBorders>
          </w:tcPr>
          <w:p w:rsidR="003324C1" w:rsidRDefault="00580654" w:rsidP="004511DC">
            <w:pPr>
              <w:spacing w:before="120" w:after="0"/>
              <w:ind w:left="4"/>
              <w:jc w:val="both"/>
            </w:pPr>
            <w:r>
              <w:rPr>
                <w:b/>
                <w:u w:val="single"/>
              </w:rPr>
              <w:t>Document 1</w:t>
            </w:r>
            <w:r w:rsidRPr="00B77B72">
              <w:rPr>
                <w:b/>
              </w:rPr>
              <w:t> :</w:t>
            </w:r>
            <w:r>
              <w:rPr>
                <w:b/>
              </w:rPr>
              <w:t xml:space="preserve"> carte de l’île de Bornéo et localisation de quelques populations d'orangs-outans</w:t>
            </w:r>
          </w:p>
          <w:p w:rsidR="003324C1" w:rsidRDefault="00580654" w:rsidP="00720F4B">
            <w:r>
              <w:rPr>
                <w:b/>
                <w:noProof/>
              </w:rPr>
              <w:drawing>
                <wp:anchor distT="0" distB="0" distL="114300" distR="114300" simplePos="0" relativeHeight="251667456" behindDoc="0" locked="0" layoutInCell="1" allowOverlap="1" wp14:anchorId="22AECB0D" wp14:editId="203DD898">
                  <wp:simplePos x="0" y="0"/>
                  <wp:positionH relativeFrom="column">
                    <wp:posOffset>141605</wp:posOffset>
                  </wp:positionH>
                  <wp:positionV relativeFrom="paragraph">
                    <wp:posOffset>71755</wp:posOffset>
                  </wp:positionV>
                  <wp:extent cx="2438400" cy="2634615"/>
                  <wp:effectExtent l="0" t="0" r="0" b="0"/>
                  <wp:wrapSquare wrapText="bothSides"/>
                  <wp:docPr id="3" name="Image 6"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2438400" cy="2634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0F4B" w:rsidRDefault="00580654" w:rsidP="00720F4B">
            <w:r>
              <w:rPr>
                <w:b/>
                <w:noProof/>
              </w:rPr>
              <w:pict w14:anchorId="0C9252F9">
                <v:group id="_x0000_s1037" alt="" style="position:absolute;margin-left:2in;margin-top:44.45pt;width:275.7pt;height:141.75pt;z-index:251683328" coordorigin="4611,10111" coordsize="5514,2835">
                  <v:oval id="_x0000_s1030" alt="" style="position:absolute;left:5481;top:12481;width:240;height:225" fillcolor="black [3200]" strokecolor="#f2f2f2 [3041]" strokeweight="3pt">
                    <v:shadow type="perspective" color="#7f7f7f [1601]" opacity=".5" offset="1pt" offset2="-1pt"/>
                  </v:oval>
                  <v:shapetype id="_x0000_t202" coordsize="21600,21600" o:spt="202" path="m,l,21600r21600,l21600,xe">
                    <v:stroke joinstyle="miter"/>
                    <v:path gradientshapeok="t" o:connecttype="rect"/>
                  </v:shapetype>
                  <v:shape id="_x0000_s1031" type="#_x0000_t202" alt="" style="position:absolute;left:5781;top:12286;width:3660;height:660;mso-wrap-style:square;v-text-anchor:top" stroked="f">
                    <v:textbox style="mso-next-textbox:#_x0000_s1031">
                      <w:txbxContent>
                        <w:p w:rsidR="00720F4B" w:rsidRPr="00720F4B" w:rsidRDefault="00580654">
                          <w:pPr>
                            <w:rPr>
                              <w:sz w:val="20"/>
                              <w:szCs w:val="20"/>
                            </w:rPr>
                          </w:pPr>
                          <w:r w:rsidRPr="00720F4B">
                            <w:rPr>
                              <w:sz w:val="20"/>
                              <w:szCs w:val="20"/>
                            </w:rPr>
                            <w:t>Localisation des différentes populations d’orangs</w:t>
                          </w:r>
                          <w:r>
                            <w:rPr>
                              <w:sz w:val="20"/>
                              <w:szCs w:val="20"/>
                            </w:rPr>
                            <w:t>-</w:t>
                          </w:r>
                          <w:r w:rsidRPr="00720F4B">
                            <w:rPr>
                              <w:sz w:val="20"/>
                              <w:szCs w:val="20"/>
                            </w:rPr>
                            <w:t>outans</w:t>
                          </w:r>
                        </w:p>
                      </w:txbxContent>
                    </v:textbox>
                  </v:shape>
                  <v:shapetype id="_x0000_t32" coordsize="21600,21600" o:spt="32" o:oned="t" path="m,l21600,21600e" filled="f">
                    <v:path arrowok="t" fillok="f" o:connecttype="none"/>
                    <o:lock v:ext="edit" shapetype="t"/>
                  </v:shapetype>
                  <v:shape id="_x0000_s1032" type="#_x0000_t32" alt="" style="position:absolute;left:4611;top:10396;width:1635;height:0;flip:x" o:connectortype="straight">
                    <v:stroke endarrow="block"/>
                  </v:shape>
                  <v:shape id="_x0000_s1033" type="#_x0000_t202" alt="" style="position:absolute;left:6186;top:10111;width:3939;height:915;mso-wrap-style:square;v-text-anchor:top" stroked="f">
                    <v:textbox style="mso-next-textbox:#_x0000_s1033">
                      <w:txbxContent>
                        <w:p w:rsidR="00720F4B" w:rsidRPr="00720F4B" w:rsidRDefault="00580654" w:rsidP="003324C1">
                          <w:pPr>
                            <w:rPr>
                              <w:sz w:val="20"/>
                              <w:szCs w:val="20"/>
                            </w:rPr>
                          </w:pPr>
                          <w:r>
                            <w:rPr>
                              <w:sz w:val="20"/>
                              <w:szCs w:val="20"/>
                            </w:rPr>
                            <w:t>Massif montagneux d</w:t>
                          </w:r>
                          <w:r>
                            <w:rPr>
                              <w:sz w:val="20"/>
                              <w:szCs w:val="20"/>
                            </w:rPr>
                            <w:t>u Banjaran Crocker dont l’altitude dépasse 500 m</w:t>
                          </w:r>
                        </w:p>
                      </w:txbxContent>
                    </v:textbox>
                  </v:shape>
                  <v:shape id="_x0000_s1034" type="#_x0000_t32" alt="" style="position:absolute;left:4626;top:11776;width:1575;height:0;flip:x" o:connectortype="straight">
                    <v:stroke endarrow="block"/>
                  </v:shape>
                  <v:shape id="_x0000_s1035" type="#_x0000_t202" alt="" style="position:absolute;left:6156;top:11566;width:2175;height:405;mso-wrap-style:square;v-text-anchor:top" stroked="f">
                    <v:textbox style="mso-next-textbox:#_x0000_s1035">
                      <w:txbxContent>
                        <w:p w:rsidR="00720F4B" w:rsidRPr="00720F4B" w:rsidRDefault="00580654">
                          <w:pPr>
                            <w:rPr>
                              <w:sz w:val="20"/>
                              <w:szCs w:val="20"/>
                            </w:rPr>
                          </w:pPr>
                          <w:r>
                            <w:rPr>
                              <w:sz w:val="20"/>
                              <w:szCs w:val="20"/>
                            </w:rPr>
                            <w:t>Cours d’eau</w:t>
                          </w:r>
                        </w:p>
                      </w:txbxContent>
                    </v:textbox>
                  </v:shape>
                </v:group>
              </w:pict>
            </w:r>
          </w:p>
        </w:tc>
      </w:tr>
      <w:tr w:rsidR="00720F4B" w:rsidRPr="00DB626B" w:rsidTr="003D24D0">
        <w:tc>
          <w:tcPr>
            <w:tcW w:w="8886" w:type="dxa"/>
            <w:tcBorders>
              <w:top w:val="nil"/>
              <w:left w:val="single" w:sz="4" w:space="0" w:color="auto"/>
              <w:bottom w:val="single" w:sz="4" w:space="0" w:color="auto"/>
              <w:right w:val="single" w:sz="4" w:space="0" w:color="auto"/>
            </w:tcBorders>
          </w:tcPr>
          <w:p w:rsidR="00720F4B" w:rsidRPr="0096571C" w:rsidRDefault="00580654" w:rsidP="003D24D0">
            <w:pPr>
              <w:spacing w:before="360" w:after="240"/>
              <w:rPr>
                <w:sz w:val="22"/>
              </w:rPr>
            </w:pPr>
            <w:r w:rsidRPr="0096571C">
              <w:rPr>
                <w:sz w:val="22"/>
                <w:szCs w:val="22"/>
                <w:u w:val="single"/>
              </w:rPr>
              <w:t>Les quatre populations de l’île de Bornéo</w:t>
            </w:r>
            <w:r w:rsidRPr="0096571C">
              <w:rPr>
                <w:sz w:val="22"/>
                <w:szCs w:val="22"/>
              </w:rPr>
              <w:t> :</w:t>
            </w:r>
          </w:p>
          <w:p w:rsidR="00720F4B" w:rsidRPr="0096571C" w:rsidRDefault="00580654" w:rsidP="004511DC">
            <w:pPr>
              <w:spacing w:after="40"/>
              <w:rPr>
                <w:sz w:val="22"/>
              </w:rPr>
            </w:pPr>
            <w:r w:rsidRPr="0096571C">
              <w:rPr>
                <w:sz w:val="22"/>
                <w:szCs w:val="22"/>
              </w:rPr>
              <w:t>SAR : population du centre de réhabilitation de la vie sauvage de Semenggoh</w:t>
            </w:r>
          </w:p>
          <w:p w:rsidR="00720F4B" w:rsidRPr="0096571C" w:rsidRDefault="00580654" w:rsidP="004511DC">
            <w:pPr>
              <w:spacing w:after="40"/>
              <w:rPr>
                <w:sz w:val="22"/>
              </w:rPr>
            </w:pPr>
            <w:r w:rsidRPr="0096571C">
              <w:rPr>
                <w:sz w:val="22"/>
                <w:szCs w:val="22"/>
              </w:rPr>
              <w:t>NK : population du parc national de Danau Sentarum</w:t>
            </w:r>
          </w:p>
          <w:p w:rsidR="00720F4B" w:rsidRPr="0096571C" w:rsidRDefault="00580654" w:rsidP="004511DC">
            <w:pPr>
              <w:spacing w:after="40"/>
              <w:rPr>
                <w:sz w:val="22"/>
              </w:rPr>
            </w:pPr>
            <w:r w:rsidRPr="0096571C">
              <w:rPr>
                <w:sz w:val="22"/>
                <w:szCs w:val="22"/>
              </w:rPr>
              <w:t xml:space="preserve">SK : population </w:t>
            </w:r>
            <w:r w:rsidRPr="0096571C">
              <w:rPr>
                <w:sz w:val="22"/>
                <w:szCs w:val="22"/>
              </w:rPr>
              <w:t>du parc national de Gunung Palung</w:t>
            </w:r>
          </w:p>
          <w:p w:rsidR="00720F4B" w:rsidRPr="0096571C" w:rsidRDefault="00580654" w:rsidP="00213863">
            <w:pPr>
              <w:spacing w:after="120"/>
              <w:rPr>
                <w:sz w:val="22"/>
              </w:rPr>
            </w:pPr>
            <w:r w:rsidRPr="0096571C">
              <w:rPr>
                <w:sz w:val="22"/>
                <w:szCs w:val="22"/>
              </w:rPr>
              <w:t>SAB : population du centre de réhabilitation pour orangs-outans de Sepilok.</w:t>
            </w:r>
          </w:p>
          <w:p w:rsidR="00A82412" w:rsidRPr="00CC360C" w:rsidRDefault="00580654" w:rsidP="003D24D0">
            <w:pPr>
              <w:spacing w:before="240" w:after="240"/>
              <w:jc w:val="both"/>
              <w:rPr>
                <w:iCs/>
                <w:sz w:val="22"/>
              </w:rPr>
            </w:pPr>
            <w:r w:rsidRPr="0096571C">
              <w:rPr>
                <w:iCs/>
                <w:sz w:val="22"/>
                <w:szCs w:val="22"/>
              </w:rPr>
              <w:t>Les larges fleuves sont infranchissables par cette espèce qui ne sait pas nager, ils constituent donc une barrière naturelle.</w:t>
            </w:r>
          </w:p>
        </w:tc>
      </w:tr>
    </w:tbl>
    <w:p w:rsidR="003D24D0" w:rsidRDefault="00580654">
      <w:r>
        <w:br w:type="page"/>
      </w:r>
    </w:p>
    <w:p w:rsidR="00CF75C9" w:rsidRDefault="00580654"/>
    <w:p w:rsidR="00CF75C9" w:rsidRDefault="00580654"/>
    <w:tbl>
      <w:tblPr>
        <w:tblStyle w:val="Grilledutableau"/>
        <w:tblW w:w="0" w:type="auto"/>
        <w:tblInd w:w="179" w:type="dxa"/>
        <w:tblBorders>
          <w:insideH w:val="none" w:sz="0" w:space="0" w:color="auto"/>
          <w:insideV w:val="none" w:sz="0" w:space="0" w:color="auto"/>
        </w:tblBorders>
        <w:tblLook w:val="04A0" w:firstRow="1" w:lastRow="0" w:firstColumn="1" w:lastColumn="0" w:noHBand="0" w:noVBand="1"/>
      </w:tblPr>
      <w:tblGrid>
        <w:gridCol w:w="8881"/>
      </w:tblGrid>
      <w:tr w:rsidR="00B77B72" w:rsidRPr="00DB626B" w:rsidTr="00E22E29">
        <w:tc>
          <w:tcPr>
            <w:tcW w:w="8886" w:type="dxa"/>
          </w:tcPr>
          <w:p w:rsidR="0096571C" w:rsidRDefault="00580654" w:rsidP="00E22E29">
            <w:pPr>
              <w:spacing w:before="120" w:after="120"/>
              <w:jc w:val="both"/>
              <w:rPr>
                <w:b/>
              </w:rPr>
            </w:pPr>
            <w:r>
              <w:rPr>
                <w:b/>
                <w:u w:val="single"/>
              </w:rPr>
              <w:t xml:space="preserve">Document </w:t>
            </w:r>
            <w:r w:rsidRPr="00B77B72">
              <w:rPr>
                <w:b/>
                <w:u w:val="single"/>
              </w:rPr>
              <w:t>2</w:t>
            </w:r>
            <w:r w:rsidRPr="00B77B72">
              <w:rPr>
                <w:b/>
              </w:rPr>
              <w:t xml:space="preserve"> :</w:t>
            </w:r>
            <w:r>
              <w:rPr>
                <w:b/>
              </w:rPr>
              <w:t xml:space="preserve"> tableau présentant les pourcentages de divergence entre certaines séquences génétiques chez les populations d’orangs-outans. </w:t>
            </w:r>
            <w:r>
              <w:t>La population de l’île de Sumatra, nommée SU, est indiquée comme référence.</w:t>
            </w:r>
          </w:p>
          <w:tbl>
            <w:tblPr>
              <w:tblStyle w:val="Grilledutableau"/>
              <w:tblpPr w:leftFromText="141" w:rightFromText="141" w:vertAnchor="text" w:horzAnchor="page" w:tblpXSpec="center" w:tblpY="147"/>
              <w:tblOverlap w:val="never"/>
              <w:tblW w:w="8433" w:type="dxa"/>
              <w:tblLook w:val="04A0" w:firstRow="1" w:lastRow="0" w:firstColumn="1" w:lastColumn="0" w:noHBand="0" w:noVBand="1"/>
            </w:tblPr>
            <w:tblGrid>
              <w:gridCol w:w="1196"/>
              <w:gridCol w:w="1441"/>
              <w:gridCol w:w="1442"/>
              <w:gridCol w:w="1474"/>
              <w:gridCol w:w="1472"/>
              <w:gridCol w:w="1408"/>
            </w:tblGrid>
            <w:tr w:rsidR="00B77B72" w:rsidTr="00201792">
              <w:trPr>
                <w:trHeight w:val="454"/>
              </w:trPr>
              <w:tc>
                <w:tcPr>
                  <w:tcW w:w="1196" w:type="dxa"/>
                  <w:vAlign w:val="center"/>
                </w:tcPr>
                <w:p w:rsidR="00B77B72" w:rsidRDefault="00580654" w:rsidP="00201792">
                  <w:pPr>
                    <w:spacing w:before="60" w:after="60"/>
                    <w:jc w:val="center"/>
                  </w:pPr>
                </w:p>
              </w:tc>
              <w:tc>
                <w:tcPr>
                  <w:tcW w:w="1441" w:type="dxa"/>
                  <w:vAlign w:val="center"/>
                </w:tcPr>
                <w:p w:rsidR="00B77B72" w:rsidRDefault="00580654" w:rsidP="00201792">
                  <w:pPr>
                    <w:spacing w:before="60" w:after="60"/>
                    <w:jc w:val="center"/>
                  </w:pPr>
                  <w:r>
                    <w:t>SK</w:t>
                  </w:r>
                </w:p>
              </w:tc>
              <w:tc>
                <w:tcPr>
                  <w:tcW w:w="1442" w:type="dxa"/>
                  <w:vAlign w:val="center"/>
                </w:tcPr>
                <w:p w:rsidR="00B77B72" w:rsidRDefault="00580654" w:rsidP="00201792">
                  <w:pPr>
                    <w:spacing w:before="60" w:after="60"/>
                    <w:jc w:val="center"/>
                  </w:pPr>
                  <w:r>
                    <w:t>NK</w:t>
                  </w:r>
                </w:p>
              </w:tc>
              <w:tc>
                <w:tcPr>
                  <w:tcW w:w="1474" w:type="dxa"/>
                  <w:vAlign w:val="center"/>
                </w:tcPr>
                <w:p w:rsidR="00B77B72" w:rsidRDefault="00580654" w:rsidP="00201792">
                  <w:pPr>
                    <w:spacing w:before="60" w:after="60"/>
                    <w:jc w:val="center"/>
                  </w:pPr>
                  <w:r>
                    <w:t>SAR</w:t>
                  </w:r>
                </w:p>
              </w:tc>
              <w:tc>
                <w:tcPr>
                  <w:tcW w:w="1472" w:type="dxa"/>
                  <w:tcBorders>
                    <w:right w:val="single" w:sz="4" w:space="0" w:color="auto"/>
                  </w:tcBorders>
                  <w:vAlign w:val="center"/>
                </w:tcPr>
                <w:p w:rsidR="00B77B72" w:rsidRDefault="00580654" w:rsidP="00201792">
                  <w:pPr>
                    <w:spacing w:before="60" w:after="60"/>
                    <w:jc w:val="center"/>
                  </w:pPr>
                  <w:r>
                    <w:t>SAB</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0654" w:rsidP="00201792">
                  <w:pPr>
                    <w:spacing w:before="60" w:after="60"/>
                    <w:jc w:val="center"/>
                  </w:pPr>
                  <w:r>
                    <w:t>SU</w:t>
                  </w:r>
                </w:p>
              </w:tc>
            </w:tr>
            <w:tr w:rsidR="00B77B72" w:rsidTr="00201792">
              <w:trPr>
                <w:trHeight w:val="443"/>
              </w:trPr>
              <w:tc>
                <w:tcPr>
                  <w:tcW w:w="1196" w:type="dxa"/>
                  <w:vAlign w:val="center"/>
                </w:tcPr>
                <w:p w:rsidR="00B77B72" w:rsidRDefault="00580654" w:rsidP="00201792">
                  <w:pPr>
                    <w:spacing w:before="60" w:after="60"/>
                    <w:jc w:val="center"/>
                  </w:pPr>
                  <w:r>
                    <w:t>SK</w:t>
                  </w:r>
                </w:p>
              </w:tc>
              <w:tc>
                <w:tcPr>
                  <w:tcW w:w="1441" w:type="dxa"/>
                  <w:shd w:val="clear" w:color="auto" w:fill="808080" w:themeFill="background1" w:themeFillShade="80"/>
                  <w:vAlign w:val="center"/>
                </w:tcPr>
                <w:p w:rsidR="00B77B72" w:rsidRDefault="00580654" w:rsidP="00201792">
                  <w:pPr>
                    <w:spacing w:before="60" w:after="60"/>
                    <w:jc w:val="center"/>
                  </w:pPr>
                  <w:r>
                    <w:t>2,6</w:t>
                  </w:r>
                </w:p>
              </w:tc>
              <w:tc>
                <w:tcPr>
                  <w:tcW w:w="1442" w:type="dxa"/>
                  <w:vAlign w:val="center"/>
                </w:tcPr>
                <w:p w:rsidR="00B77B72" w:rsidRDefault="00580654" w:rsidP="00201792">
                  <w:pPr>
                    <w:spacing w:before="60" w:after="60"/>
                    <w:jc w:val="center"/>
                  </w:pPr>
                  <w:r>
                    <w:t>6,3</w:t>
                  </w:r>
                </w:p>
              </w:tc>
              <w:tc>
                <w:tcPr>
                  <w:tcW w:w="1474" w:type="dxa"/>
                  <w:vAlign w:val="center"/>
                </w:tcPr>
                <w:p w:rsidR="00B77B72" w:rsidRDefault="00580654" w:rsidP="00201792">
                  <w:pPr>
                    <w:spacing w:before="60" w:after="60"/>
                    <w:jc w:val="center"/>
                  </w:pPr>
                  <w:r>
                    <w:t>5,3</w:t>
                  </w:r>
                </w:p>
              </w:tc>
              <w:tc>
                <w:tcPr>
                  <w:tcW w:w="1472" w:type="dxa"/>
                  <w:tcBorders>
                    <w:right w:val="single" w:sz="4" w:space="0" w:color="auto"/>
                  </w:tcBorders>
                  <w:vAlign w:val="center"/>
                </w:tcPr>
                <w:p w:rsidR="00B77B72" w:rsidRDefault="00580654" w:rsidP="00201792">
                  <w:pPr>
                    <w:spacing w:before="60" w:after="60"/>
                    <w:jc w:val="center"/>
                  </w:pPr>
                  <w:r>
                    <w:t>5,1</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0654" w:rsidP="00201792">
                  <w:pPr>
                    <w:spacing w:before="60" w:after="60"/>
                    <w:jc w:val="center"/>
                  </w:pPr>
                  <w:r>
                    <w:t>19,2</w:t>
                  </w:r>
                </w:p>
              </w:tc>
            </w:tr>
            <w:tr w:rsidR="00B77B72" w:rsidTr="00201792">
              <w:trPr>
                <w:trHeight w:val="454"/>
              </w:trPr>
              <w:tc>
                <w:tcPr>
                  <w:tcW w:w="1196" w:type="dxa"/>
                  <w:vAlign w:val="center"/>
                </w:tcPr>
                <w:p w:rsidR="00B77B72" w:rsidRDefault="00580654" w:rsidP="00201792">
                  <w:pPr>
                    <w:spacing w:before="60" w:after="60"/>
                    <w:jc w:val="center"/>
                  </w:pPr>
                  <w:r>
                    <w:t>NK</w:t>
                  </w:r>
                </w:p>
              </w:tc>
              <w:tc>
                <w:tcPr>
                  <w:tcW w:w="1441" w:type="dxa"/>
                  <w:shd w:val="clear" w:color="auto" w:fill="auto"/>
                  <w:vAlign w:val="center"/>
                </w:tcPr>
                <w:p w:rsidR="00B77B72" w:rsidRDefault="00580654" w:rsidP="00201792">
                  <w:pPr>
                    <w:spacing w:before="60" w:after="60"/>
                    <w:jc w:val="center"/>
                  </w:pPr>
                  <w:r>
                    <w:t>-</w:t>
                  </w:r>
                </w:p>
              </w:tc>
              <w:tc>
                <w:tcPr>
                  <w:tcW w:w="1442" w:type="dxa"/>
                  <w:shd w:val="clear" w:color="auto" w:fill="808080" w:themeFill="background1" w:themeFillShade="80"/>
                  <w:vAlign w:val="center"/>
                </w:tcPr>
                <w:p w:rsidR="00B77B72" w:rsidRDefault="00580654" w:rsidP="00201792">
                  <w:pPr>
                    <w:spacing w:before="60" w:after="60"/>
                    <w:jc w:val="center"/>
                  </w:pPr>
                  <w:r>
                    <w:t>3,4</w:t>
                  </w:r>
                </w:p>
              </w:tc>
              <w:tc>
                <w:tcPr>
                  <w:tcW w:w="1474" w:type="dxa"/>
                  <w:vAlign w:val="center"/>
                </w:tcPr>
                <w:p w:rsidR="00B77B72" w:rsidRDefault="00580654" w:rsidP="00201792">
                  <w:pPr>
                    <w:spacing w:before="60" w:after="60"/>
                    <w:jc w:val="center"/>
                  </w:pPr>
                  <w:r>
                    <w:t>2,6</w:t>
                  </w:r>
                </w:p>
              </w:tc>
              <w:tc>
                <w:tcPr>
                  <w:tcW w:w="1472" w:type="dxa"/>
                  <w:tcBorders>
                    <w:right w:val="single" w:sz="4" w:space="0" w:color="auto"/>
                  </w:tcBorders>
                  <w:vAlign w:val="center"/>
                </w:tcPr>
                <w:p w:rsidR="00B77B72" w:rsidRDefault="00580654" w:rsidP="00201792">
                  <w:pPr>
                    <w:spacing w:before="60" w:after="60"/>
                    <w:jc w:val="center"/>
                  </w:pPr>
                  <w:r>
                    <w:t>5,9</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0654" w:rsidP="00201792">
                  <w:pPr>
                    <w:spacing w:before="60" w:after="60"/>
                    <w:jc w:val="center"/>
                  </w:pPr>
                  <w:r>
                    <w:t>17,5</w:t>
                  </w:r>
                </w:p>
              </w:tc>
            </w:tr>
            <w:tr w:rsidR="00B77B72" w:rsidTr="00201792">
              <w:trPr>
                <w:trHeight w:val="454"/>
              </w:trPr>
              <w:tc>
                <w:tcPr>
                  <w:tcW w:w="1196" w:type="dxa"/>
                  <w:vAlign w:val="center"/>
                </w:tcPr>
                <w:p w:rsidR="00B77B72" w:rsidRDefault="00580654" w:rsidP="00201792">
                  <w:pPr>
                    <w:spacing w:before="60" w:after="60"/>
                    <w:jc w:val="center"/>
                  </w:pPr>
                  <w:r>
                    <w:t>SAR</w:t>
                  </w:r>
                </w:p>
              </w:tc>
              <w:tc>
                <w:tcPr>
                  <w:tcW w:w="1441" w:type="dxa"/>
                  <w:shd w:val="clear" w:color="auto" w:fill="auto"/>
                  <w:vAlign w:val="center"/>
                </w:tcPr>
                <w:p w:rsidR="00B77B72" w:rsidRDefault="00580654" w:rsidP="00201792">
                  <w:pPr>
                    <w:spacing w:before="60" w:after="60"/>
                    <w:jc w:val="center"/>
                  </w:pPr>
                  <w:r>
                    <w:t>-</w:t>
                  </w:r>
                </w:p>
              </w:tc>
              <w:tc>
                <w:tcPr>
                  <w:tcW w:w="1442" w:type="dxa"/>
                  <w:shd w:val="clear" w:color="auto" w:fill="auto"/>
                  <w:vAlign w:val="center"/>
                </w:tcPr>
                <w:p w:rsidR="00B77B72" w:rsidRDefault="00580654" w:rsidP="00201792">
                  <w:pPr>
                    <w:spacing w:before="60" w:after="60"/>
                    <w:jc w:val="center"/>
                  </w:pPr>
                  <w:r>
                    <w:t>-</w:t>
                  </w:r>
                </w:p>
              </w:tc>
              <w:tc>
                <w:tcPr>
                  <w:tcW w:w="1474" w:type="dxa"/>
                  <w:shd w:val="clear" w:color="auto" w:fill="808080" w:themeFill="background1" w:themeFillShade="80"/>
                  <w:vAlign w:val="center"/>
                </w:tcPr>
                <w:p w:rsidR="00B77B72" w:rsidRDefault="00580654" w:rsidP="00201792">
                  <w:pPr>
                    <w:spacing w:before="60" w:after="60"/>
                    <w:jc w:val="center"/>
                  </w:pPr>
                  <w:r>
                    <w:t>1,5</w:t>
                  </w:r>
                </w:p>
              </w:tc>
              <w:tc>
                <w:tcPr>
                  <w:tcW w:w="1472" w:type="dxa"/>
                  <w:tcBorders>
                    <w:right w:val="single" w:sz="4" w:space="0" w:color="auto"/>
                  </w:tcBorders>
                  <w:vAlign w:val="center"/>
                </w:tcPr>
                <w:p w:rsidR="00B77B72" w:rsidRDefault="00580654" w:rsidP="00201792">
                  <w:pPr>
                    <w:spacing w:before="60" w:after="60"/>
                    <w:jc w:val="center"/>
                  </w:pPr>
                  <w:r>
                    <w:t>4,6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0654" w:rsidP="00201792">
                  <w:pPr>
                    <w:spacing w:before="60" w:after="60"/>
                    <w:jc w:val="center"/>
                  </w:pPr>
                  <w:r>
                    <w:t>16,5</w:t>
                  </w:r>
                </w:p>
              </w:tc>
            </w:tr>
            <w:tr w:rsidR="00B77B72" w:rsidTr="00201792">
              <w:trPr>
                <w:trHeight w:val="443"/>
              </w:trPr>
              <w:tc>
                <w:tcPr>
                  <w:tcW w:w="1196" w:type="dxa"/>
                  <w:vAlign w:val="center"/>
                </w:tcPr>
                <w:p w:rsidR="00B77B72" w:rsidRDefault="00580654" w:rsidP="00201792">
                  <w:pPr>
                    <w:spacing w:before="60" w:after="60"/>
                    <w:jc w:val="center"/>
                  </w:pPr>
                  <w:r>
                    <w:t>SAB</w:t>
                  </w:r>
                </w:p>
              </w:tc>
              <w:tc>
                <w:tcPr>
                  <w:tcW w:w="1441" w:type="dxa"/>
                  <w:shd w:val="clear" w:color="auto" w:fill="auto"/>
                  <w:vAlign w:val="center"/>
                </w:tcPr>
                <w:p w:rsidR="00B77B72" w:rsidRDefault="00580654" w:rsidP="00201792">
                  <w:pPr>
                    <w:spacing w:before="60" w:after="60"/>
                    <w:jc w:val="center"/>
                  </w:pPr>
                  <w:r>
                    <w:t>-</w:t>
                  </w:r>
                </w:p>
              </w:tc>
              <w:tc>
                <w:tcPr>
                  <w:tcW w:w="1442" w:type="dxa"/>
                  <w:shd w:val="clear" w:color="auto" w:fill="auto"/>
                  <w:vAlign w:val="center"/>
                </w:tcPr>
                <w:p w:rsidR="00B77B72" w:rsidRDefault="00580654" w:rsidP="00201792">
                  <w:pPr>
                    <w:spacing w:before="60" w:after="60"/>
                    <w:jc w:val="center"/>
                  </w:pPr>
                  <w:r>
                    <w:t>-</w:t>
                  </w:r>
                </w:p>
              </w:tc>
              <w:tc>
                <w:tcPr>
                  <w:tcW w:w="1474" w:type="dxa"/>
                  <w:shd w:val="clear" w:color="auto" w:fill="auto"/>
                  <w:vAlign w:val="center"/>
                </w:tcPr>
                <w:p w:rsidR="00B77B72" w:rsidRDefault="00580654" w:rsidP="00201792">
                  <w:pPr>
                    <w:spacing w:before="60" w:after="60"/>
                    <w:jc w:val="center"/>
                  </w:pPr>
                  <w:r>
                    <w:t>-</w:t>
                  </w:r>
                </w:p>
              </w:tc>
              <w:tc>
                <w:tcPr>
                  <w:tcW w:w="1472" w:type="dxa"/>
                  <w:tcBorders>
                    <w:right w:val="single" w:sz="4" w:space="0" w:color="auto"/>
                  </w:tcBorders>
                  <w:shd w:val="clear" w:color="auto" w:fill="808080" w:themeFill="background1" w:themeFillShade="80"/>
                  <w:vAlign w:val="center"/>
                </w:tcPr>
                <w:p w:rsidR="00B77B72" w:rsidRDefault="00580654" w:rsidP="00201792">
                  <w:pPr>
                    <w:spacing w:before="60" w:after="60"/>
                    <w:jc w:val="center"/>
                  </w:pPr>
                  <w:r>
                    <w:t>2,6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580654" w:rsidP="00201792">
                  <w:pPr>
                    <w:spacing w:before="60" w:after="60"/>
                    <w:jc w:val="center"/>
                  </w:pPr>
                  <w:r>
                    <w:t>19,9</w:t>
                  </w:r>
                </w:p>
              </w:tc>
            </w:tr>
            <w:tr w:rsidR="00B77B72" w:rsidTr="00201792">
              <w:trPr>
                <w:trHeight w:val="454"/>
              </w:trPr>
              <w:tc>
                <w:tcPr>
                  <w:tcW w:w="1196" w:type="dxa"/>
                  <w:shd w:val="clear" w:color="auto" w:fill="auto"/>
                  <w:vAlign w:val="center"/>
                </w:tcPr>
                <w:p w:rsidR="00B77B72" w:rsidRDefault="00580654" w:rsidP="00201792">
                  <w:pPr>
                    <w:spacing w:before="60" w:after="60"/>
                    <w:jc w:val="center"/>
                  </w:pPr>
                  <w:r>
                    <w:t>SU</w:t>
                  </w:r>
                </w:p>
              </w:tc>
              <w:tc>
                <w:tcPr>
                  <w:tcW w:w="1441" w:type="dxa"/>
                  <w:shd w:val="clear" w:color="auto" w:fill="auto"/>
                  <w:vAlign w:val="center"/>
                </w:tcPr>
                <w:p w:rsidR="00B77B72" w:rsidRDefault="00580654" w:rsidP="00201792">
                  <w:pPr>
                    <w:spacing w:before="60" w:after="60"/>
                    <w:jc w:val="center"/>
                  </w:pPr>
                  <w:r>
                    <w:t>-</w:t>
                  </w:r>
                </w:p>
              </w:tc>
              <w:tc>
                <w:tcPr>
                  <w:tcW w:w="1442" w:type="dxa"/>
                  <w:shd w:val="clear" w:color="auto" w:fill="auto"/>
                  <w:vAlign w:val="center"/>
                </w:tcPr>
                <w:p w:rsidR="00B77B72" w:rsidRDefault="00580654" w:rsidP="00201792">
                  <w:pPr>
                    <w:spacing w:before="60" w:after="60"/>
                    <w:jc w:val="center"/>
                  </w:pPr>
                  <w:r>
                    <w:t>-</w:t>
                  </w:r>
                </w:p>
              </w:tc>
              <w:tc>
                <w:tcPr>
                  <w:tcW w:w="1474" w:type="dxa"/>
                  <w:shd w:val="clear" w:color="auto" w:fill="auto"/>
                  <w:vAlign w:val="center"/>
                </w:tcPr>
                <w:p w:rsidR="00B77B72" w:rsidRDefault="00580654" w:rsidP="00201792">
                  <w:pPr>
                    <w:spacing w:before="60" w:after="60"/>
                    <w:jc w:val="center"/>
                  </w:pPr>
                  <w:r>
                    <w:t>-</w:t>
                  </w:r>
                </w:p>
              </w:tc>
              <w:tc>
                <w:tcPr>
                  <w:tcW w:w="1472" w:type="dxa"/>
                  <w:tcBorders>
                    <w:right w:val="single" w:sz="4" w:space="0" w:color="auto"/>
                  </w:tcBorders>
                  <w:shd w:val="clear" w:color="auto" w:fill="auto"/>
                  <w:vAlign w:val="center"/>
                </w:tcPr>
                <w:p w:rsidR="00B77B72" w:rsidRDefault="00580654" w:rsidP="00201792">
                  <w:pPr>
                    <w:spacing w:before="60" w:after="60"/>
                    <w:jc w:val="center"/>
                  </w:pPr>
                  <w:r>
                    <w:t>-</w:t>
                  </w:r>
                </w:p>
              </w:tc>
              <w:tc>
                <w:tcPr>
                  <w:tcW w:w="140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rsidR="00B77B72" w:rsidRDefault="00580654" w:rsidP="00201792">
                  <w:pPr>
                    <w:spacing w:before="60" w:after="60"/>
                    <w:jc w:val="center"/>
                  </w:pPr>
                  <w:r>
                    <w:t>7,8</w:t>
                  </w:r>
                </w:p>
              </w:tc>
            </w:tr>
          </w:tbl>
          <w:p w:rsidR="00B77B72" w:rsidRDefault="00580654" w:rsidP="005A7B7C">
            <w:pPr>
              <w:spacing w:before="240" w:after="120"/>
              <w:jc w:val="both"/>
            </w:pPr>
            <w:r>
              <w:t xml:space="preserve">Les cases grisées, constituant la diagonale du tableau indiquent les pourcentages de divergence des séquences génétiques au sein d’une même population d’orangs outans. Les autres cases comparent la divergence des séquences génétiques entre les populations </w:t>
            </w:r>
            <w:r>
              <w:t>prises deux à deux.</w:t>
            </w:r>
          </w:p>
          <w:p w:rsidR="00332137" w:rsidRPr="00B77B72" w:rsidRDefault="00580654" w:rsidP="00201792">
            <w:pPr>
              <w:spacing w:after="120"/>
              <w:jc w:val="both"/>
            </w:pPr>
            <w:r>
              <w:t>Plus le pourcentage de divergence des séquences génétiques entre deux populations est important, plus la distance génétique entre ces populations est grande.</w:t>
            </w:r>
          </w:p>
          <w:p w:rsidR="00B77B72" w:rsidRPr="00DB626B" w:rsidRDefault="00580654" w:rsidP="00201792">
            <w:pPr>
              <w:spacing w:after="120"/>
              <w:jc w:val="right"/>
              <w:rPr>
                <w:b/>
                <w:lang w:val="en-US"/>
              </w:rPr>
            </w:pPr>
            <w:r w:rsidRPr="00A82412">
              <w:rPr>
                <w:i/>
                <w:sz w:val="20"/>
                <w:szCs w:val="20"/>
                <w:lang w:val="en-US"/>
              </w:rPr>
              <w:t>D'après Speciation and Intrasubspecific Variation of Bornean Orangutans, Pongo</w:t>
            </w:r>
            <w:r w:rsidRPr="00A82412">
              <w:rPr>
                <w:i/>
                <w:sz w:val="20"/>
                <w:szCs w:val="20"/>
                <w:lang w:val="en-US"/>
              </w:rPr>
              <w:t xml:space="preserve"> pygmaeus pymaeus, Warren et al.</w:t>
            </w:r>
            <w:r>
              <w:rPr>
                <w:i/>
                <w:sz w:val="20"/>
                <w:szCs w:val="20"/>
                <w:lang w:val="en-US"/>
              </w:rPr>
              <w:t xml:space="preserve"> </w:t>
            </w:r>
            <w:r w:rsidRPr="0096571C">
              <w:rPr>
                <w:iCs/>
                <w:sz w:val="20"/>
                <w:szCs w:val="20"/>
              </w:rPr>
              <w:t>Molecular Biology and Evolution</w:t>
            </w:r>
            <w:r>
              <w:rPr>
                <w:i/>
                <w:sz w:val="20"/>
                <w:szCs w:val="20"/>
                <w:lang w:val="en-US"/>
              </w:rPr>
              <w:t xml:space="preserve"> (2001)</w:t>
            </w:r>
          </w:p>
        </w:tc>
      </w:tr>
    </w:tbl>
    <w:p w:rsidR="007C55E5" w:rsidRDefault="00580654" w:rsidP="00CF75C9">
      <w:pPr>
        <w:spacing w:before="600" w:after="480"/>
        <w:jc w:val="both"/>
      </w:pPr>
      <w:r w:rsidRPr="7342D644">
        <w:rPr>
          <w:b/>
          <w:bCs/>
        </w:rPr>
        <w:t>1-</w:t>
      </w:r>
      <w:r>
        <w:t xml:space="preserve"> </w:t>
      </w:r>
      <w:r w:rsidRPr="7342D644">
        <w:rPr>
          <w:rFonts w:eastAsia="Arial" w:cs="Arial"/>
        </w:rPr>
        <w:t>À</w:t>
      </w:r>
      <w:r>
        <w:t xml:space="preserve"> partir de l'analyse des documents 1 et 2, montrer que la fragmentation des habitats par des obstacles naturels pourrait être </w:t>
      </w:r>
      <w:r w:rsidRPr="7342D644">
        <w:rPr>
          <w:rFonts w:eastAsia="Arial" w:cs="Arial"/>
        </w:rPr>
        <w:t>à l'origine de</w:t>
      </w:r>
      <w:r>
        <w:t xml:space="preserve"> l'accumulation de différences génétiques entre populations.</w:t>
      </w:r>
    </w:p>
    <w:p w:rsidR="00CF75C9" w:rsidRDefault="00580654" w:rsidP="00A82412">
      <w:pPr>
        <w:jc w:val="both"/>
      </w:pPr>
      <w:r>
        <w:t xml:space="preserve">Certaines zones de l’île sont actuellement défrichées par l’être humain pour faire place </w:t>
      </w:r>
      <w:r w:rsidRPr="7342D644">
        <w:rPr>
          <w:rFonts w:eastAsia="Arial" w:cs="Arial"/>
        </w:rPr>
        <w:t xml:space="preserve">à des exploitations agricoles comme les palmeraies. </w:t>
      </w:r>
      <w:r>
        <w:t xml:space="preserve">Les conséquences possibles sur la diversité génétique </w:t>
      </w:r>
      <w:r>
        <w:t>des Orangs-outans de Bornéo sont alors étudiées.</w:t>
      </w:r>
    </w:p>
    <w:p w:rsidR="00CF75C9" w:rsidRDefault="00580654">
      <w:pPr>
        <w:spacing w:after="0" w:line="240" w:lineRule="auto"/>
      </w:pPr>
      <w:r>
        <w:br w:type="page"/>
      </w:r>
    </w:p>
    <w:p w:rsidR="00591BED" w:rsidRDefault="00580654" w:rsidP="00A82412">
      <w:pPr>
        <w:jc w:val="both"/>
      </w:pPr>
    </w:p>
    <w:tbl>
      <w:tblPr>
        <w:tblStyle w:val="Grilledutableau"/>
        <w:tblW w:w="0" w:type="auto"/>
        <w:tblLook w:val="04A0" w:firstRow="1" w:lastRow="0" w:firstColumn="1" w:lastColumn="0" w:noHBand="0" w:noVBand="1"/>
      </w:tblPr>
      <w:tblGrid>
        <w:gridCol w:w="9060"/>
      </w:tblGrid>
      <w:tr w:rsidR="00285BFE" w:rsidTr="7342D644">
        <w:tc>
          <w:tcPr>
            <w:tcW w:w="9210" w:type="dxa"/>
          </w:tcPr>
          <w:p w:rsidR="00C67C78" w:rsidRDefault="00580654" w:rsidP="00CF75C9">
            <w:pPr>
              <w:spacing w:before="120" w:after="120"/>
              <w:jc w:val="both"/>
              <w:rPr>
                <w:b/>
                <w:bCs/>
              </w:rPr>
            </w:pPr>
            <w:r>
              <w:rPr>
                <w:b/>
                <w:u w:val="single"/>
              </w:rPr>
              <w:t>Document 3</w:t>
            </w:r>
            <w:r w:rsidRPr="00C67C78">
              <w:rPr>
                <w:b/>
              </w:rPr>
              <w:t> :</w:t>
            </w:r>
            <w:r w:rsidRPr="00E504D3">
              <w:rPr>
                <w:b/>
              </w:rPr>
              <w:t xml:space="preserve"> r</w:t>
            </w:r>
            <w:r w:rsidRPr="00E504D3">
              <w:rPr>
                <w:b/>
                <w:bCs/>
              </w:rPr>
              <w:t>eprésentation</w:t>
            </w:r>
            <w:r>
              <w:rPr>
                <w:b/>
                <w:bCs/>
              </w:rPr>
              <w:t xml:space="preserve"> simplifiée de l'évolution de la forêt tropicale dans une zone de la région de Kalimantan du sud entre 1970 et 2020</w:t>
            </w:r>
          </w:p>
          <w:p w:rsidR="00285BFE" w:rsidRDefault="00580654" w:rsidP="00C67C78">
            <w:pPr>
              <w:ind w:left="142"/>
              <w:jc w:val="both"/>
              <w:rPr>
                <w:bCs/>
              </w:rPr>
            </w:pPr>
            <w:r>
              <w:rPr>
                <w:rFonts w:cs="Arial"/>
                <w:noProof/>
                <w:szCs w:val="22"/>
              </w:rPr>
              <w:drawing>
                <wp:anchor distT="0" distB="0" distL="114300" distR="114300" simplePos="0" relativeHeight="251680768" behindDoc="1" locked="0" layoutInCell="1" allowOverlap="1" wp14:anchorId="1FA3A75B" wp14:editId="2C8ECD32">
                  <wp:simplePos x="0" y="0"/>
                  <wp:positionH relativeFrom="column">
                    <wp:posOffset>2177415</wp:posOffset>
                  </wp:positionH>
                  <wp:positionV relativeFrom="paragraph">
                    <wp:posOffset>302895</wp:posOffset>
                  </wp:positionV>
                  <wp:extent cx="3391200" cy="1576800"/>
                  <wp:effectExtent l="0" t="0" r="0" b="0"/>
                  <wp:wrapTight wrapText="bothSides">
                    <wp:wrapPolygon edited="0">
                      <wp:start x="0" y="0"/>
                      <wp:lineTo x="0" y="21400"/>
                      <wp:lineTo x="21479" y="21400"/>
                      <wp:lineTo x="21479" y="0"/>
                      <wp:lineTo x="0"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391200" cy="157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49024" behindDoc="0" locked="0" layoutInCell="1" allowOverlap="1" wp14:anchorId="09E3F85B" wp14:editId="3D6885FD">
                  <wp:simplePos x="0" y="0"/>
                  <wp:positionH relativeFrom="column">
                    <wp:posOffset>118745</wp:posOffset>
                  </wp:positionH>
                  <wp:positionV relativeFrom="paragraph">
                    <wp:posOffset>138430</wp:posOffset>
                  </wp:positionV>
                  <wp:extent cx="1700530" cy="1838325"/>
                  <wp:effectExtent l="0" t="0" r="0" b="0"/>
                  <wp:wrapSquare wrapText="bothSides"/>
                  <wp:docPr id="5" name="Image 1"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C:\Users\Julien\Downloads\japkfecncboceoon.png"/>
                          <pic:cNvPicPr>
                            <a:picLocks noChangeAspect="1" noChangeArrowheads="1"/>
                          </pic:cNvPicPr>
                        </pic:nvPicPr>
                        <pic:blipFill>
                          <a:blip r:embed="rId12" cstate="print">
                            <a:grayscl/>
                          </a:blip>
                          <a:srcRect/>
                          <a:stretch>
                            <a:fillRect/>
                          </a:stretch>
                        </pic:blipFill>
                        <pic:spPr bwMode="auto">
                          <a:xfrm>
                            <a:off x="0" y="0"/>
                            <a:ext cx="1700530"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85BFE" w:rsidRDefault="00580654" w:rsidP="7342D644">
            <w:pPr>
              <w:ind w:left="142"/>
              <w:jc w:val="both"/>
            </w:pPr>
          </w:p>
          <w:p w:rsidR="007C55E5" w:rsidRDefault="00580654" w:rsidP="00E504D3">
            <w:pPr>
              <w:spacing w:after="120" w:line="240" w:lineRule="auto"/>
            </w:pPr>
            <w:r>
              <w:t>Chaque carré a une aire de 100 km².</w:t>
            </w:r>
          </w:p>
          <w:p w:rsidR="00C67C78" w:rsidRPr="007C55E5" w:rsidRDefault="00580654" w:rsidP="00E504D3">
            <w:pPr>
              <w:spacing w:after="120"/>
              <w:jc w:val="both"/>
              <w:rPr>
                <w:bCs/>
              </w:rPr>
            </w:pPr>
            <w:r>
              <w:t xml:space="preserve">Les carrés sombres </w:t>
            </w:r>
            <w:r>
              <w:t>correspondent à des zones recouvertes par de la forêt et les carrés blancs à des zones défrichées.</w:t>
            </w:r>
          </w:p>
        </w:tc>
      </w:tr>
    </w:tbl>
    <w:p w:rsidR="00BB5DC8" w:rsidRDefault="00580654" w:rsidP="00E504D3">
      <w:pPr>
        <w:tabs>
          <w:tab w:val="left" w:pos="6048"/>
        </w:tabs>
        <w:spacing w:before="480" w:after="120"/>
        <w:jc w:val="both"/>
      </w:pPr>
      <w:r>
        <w:rPr>
          <w:b/>
        </w:rPr>
        <w:t>2</w:t>
      </w:r>
      <w:r w:rsidRPr="00A43F55">
        <w:rPr>
          <w:b/>
        </w:rPr>
        <w:t>-</w:t>
      </w:r>
      <w:r>
        <w:t xml:space="preserve"> À l’aide du quadrillage fourni sur le document 3, déterminer l'impact de l'activité humaine sur la surface disponible pour les orangs-outans. Pour cela, </w:t>
      </w:r>
      <w:r>
        <w:t>calculer :</w:t>
      </w:r>
    </w:p>
    <w:p w:rsidR="00BB5DC8" w:rsidRDefault="00580654" w:rsidP="00E504D3">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BB5DC8" w:rsidRDefault="00580654" w:rsidP="00E504D3">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B5DC8" w:rsidRDefault="00580654" w:rsidP="00E504D3">
      <w:pPr>
        <w:tabs>
          <w:tab w:val="left" w:pos="6048"/>
        </w:tabs>
        <w:spacing w:after="240"/>
        <w:ind w:left="426" w:hanging="142"/>
        <w:jc w:val="both"/>
      </w:pPr>
      <w:r>
        <w:t>- le pourcentage de diminution de l’aire de la surf</w:t>
      </w:r>
      <w:r>
        <w:t>ace disponible entre 1970 et 2020.</w:t>
      </w:r>
    </w:p>
    <w:p w:rsidR="00510571" w:rsidRDefault="00580654" w:rsidP="00AC333A">
      <w:pPr>
        <w:jc w:val="both"/>
      </w:pPr>
      <w:r>
        <w:rPr>
          <w:b/>
        </w:rPr>
        <w:t>3</w:t>
      </w:r>
      <w:r w:rsidRPr="001D30E1">
        <w:rPr>
          <w:b/>
        </w:rPr>
        <w:t>-</w:t>
      </w:r>
      <w:r>
        <w:t xml:space="preserve"> À l’aide des documents de vos connaissances, rédiger un paragraphe argumenté présentant le rôle conjoint de la géographie et de l’action humaine de déforestation sur le risque </w:t>
      </w:r>
      <w:r w:rsidRPr="00CC360C">
        <w:t>d’appauvrissement génétique des population</w:t>
      </w:r>
      <w:r w:rsidRPr="00CC360C">
        <w:t xml:space="preserve">s d’orangs-outans </w:t>
      </w:r>
      <w:r>
        <w:t xml:space="preserve">de l’île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r>
        <w:br w:type="page"/>
      </w:r>
    </w:p>
    <w:p w:rsidR="00A538FE" w:rsidRPr="00A77456" w:rsidRDefault="00580654" w:rsidP="00A538FE">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A538FE" w:rsidRPr="00A77456" w:rsidRDefault="00580654" w:rsidP="00A538FE">
      <w:pPr>
        <w:spacing w:after="240"/>
        <w:jc w:val="center"/>
        <w:rPr>
          <w:rFonts w:eastAsia="Arial" w:cs="Arial"/>
          <w:i/>
        </w:rPr>
      </w:pPr>
      <w:r w:rsidRPr="00A77456">
        <w:rPr>
          <w:rFonts w:eastAsia="Arial" w:cs="Arial"/>
          <w:i/>
        </w:rPr>
        <w:t>Thème « </w:t>
      </w:r>
      <w:r>
        <w:rPr>
          <w:rFonts w:eastAsia="Arial" w:cs="Arial"/>
          <w:i/>
        </w:rPr>
        <w:t xml:space="preserve">Une longue </w:t>
      </w:r>
      <w:r>
        <w:rPr>
          <w:rFonts w:eastAsia="Arial" w:cs="Arial"/>
          <w:i/>
        </w:rPr>
        <w:t>histoire de la matière »</w:t>
      </w:r>
    </w:p>
    <w:p w:rsidR="00A538FE" w:rsidRPr="00D87AD1" w:rsidRDefault="00580654" w:rsidP="00A538FE">
      <w:pPr>
        <w:spacing w:after="120"/>
        <w:rPr>
          <w:b/>
          <w:sz w:val="22"/>
        </w:rPr>
      </w:pPr>
      <w:r>
        <w:rPr>
          <w:b/>
          <w:sz w:val="28"/>
        </w:rPr>
        <w:t>Géode de galène</w:t>
      </w:r>
    </w:p>
    <w:p w:rsidR="00A538FE" w:rsidRPr="000E2C8B" w:rsidRDefault="00580654" w:rsidP="00D57737">
      <w:pPr>
        <w:spacing w:after="240"/>
        <w:rPr>
          <w:i/>
        </w:rPr>
      </w:pPr>
      <w:r w:rsidRPr="00D74F67">
        <w:rPr>
          <w:i/>
        </w:rPr>
        <w:t>Sur 10 points</w:t>
      </w:r>
    </w:p>
    <w:p w:rsidR="00F205DF" w:rsidRPr="00F205DF" w:rsidRDefault="00580654" w:rsidP="007F486D">
      <w:pPr>
        <w:shd w:val="clear" w:color="auto" w:fill="FFFFFF"/>
        <w:spacing w:before="360" w:after="120"/>
        <w:jc w:val="both"/>
        <w:rPr>
          <w:rFonts w:eastAsia="Times New Roman" w:cs="Arial"/>
        </w:rPr>
      </w:pPr>
      <w:r w:rsidRPr="00F205DF">
        <w:rPr>
          <w:rFonts w:eastAsia="Times New Roman" w:cs="Arial"/>
        </w:rPr>
        <w:t>Le plomb est présent à l’état naturel sous diverses formes dans la </w:t>
      </w:r>
      <w:hyperlink r:id="rId14" w:tooltip="Croute terrestre" w:history="1">
        <w:r w:rsidRPr="00F205DF">
          <w:rPr>
            <w:rFonts w:eastAsia="Times New Roman" w:cs="Arial"/>
          </w:rPr>
          <w:t>croûte terrestre</w:t>
        </w:r>
      </w:hyperlink>
      <w:r w:rsidRPr="00F205DF">
        <w:rPr>
          <w:rFonts w:eastAsia="Times New Roman" w:cs="Arial"/>
        </w:rPr>
        <w:t xml:space="preserve">. On le trouve principalement </w:t>
      </w:r>
      <w:r w:rsidRPr="00F205DF">
        <w:rPr>
          <w:rFonts w:eastAsia="Times New Roman" w:cs="Arial"/>
        </w:rPr>
        <w:t>dans la galène, qui en contient 86,6 % en masse. Cet élément a permis de donner une estimation précise de l’âge de la Terre.</w:t>
      </w:r>
      <w:r>
        <w:rPr>
          <w:rFonts w:eastAsia="Times New Roman" w:cs="Arial"/>
        </w:rPr>
        <w:t xml:space="preserve"> </w:t>
      </w:r>
    </w:p>
    <w:p w:rsidR="00F205DF" w:rsidRPr="00F205DF" w:rsidRDefault="00580654" w:rsidP="00F205DF">
      <w:pPr>
        <w:shd w:val="clear" w:color="auto" w:fill="FFFFFF"/>
        <w:spacing w:after="0"/>
        <w:rPr>
          <w:rFonts w:eastAsia="Times New Roman" w:cs="Arial"/>
          <w:b/>
          <w:color w:val="000000"/>
        </w:rPr>
      </w:pPr>
    </w:p>
    <w:tbl>
      <w:tblPr>
        <w:tblpPr w:leftFromText="141" w:rightFromText="141" w:vertAnchor="text" w:tblpXSpec="center" w:tblpY="1"/>
        <w:tblW w:w="0" w:type="auto"/>
        <w:tblCellSpacing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98"/>
      </w:tblGrid>
      <w:tr w:rsidR="00F205DF" w:rsidRPr="00F205DF" w:rsidTr="00CC705A">
        <w:trPr>
          <w:trHeight w:val="182"/>
          <w:tblCellSpacing w:w="0" w:type="dxa"/>
        </w:trPr>
        <w:tc>
          <w:tcPr>
            <w:tcW w:w="5098" w:type="dxa"/>
            <w:vAlign w:val="center"/>
          </w:tcPr>
          <w:p w:rsidR="00F205DF" w:rsidRPr="00F205DF" w:rsidRDefault="00580654" w:rsidP="00772C9D">
            <w:pPr>
              <w:spacing w:after="0"/>
              <w:jc w:val="center"/>
              <w:rPr>
                <w:rFonts w:eastAsia="Times New Roman" w:cs="Arial"/>
              </w:rPr>
            </w:pPr>
            <w:r w:rsidRPr="00F205DF">
              <w:rPr>
                <w:rFonts w:eastAsia="Times New Roman" w:cs="Arial"/>
                <w:color w:val="000000"/>
              </w:rPr>
              <w:t>Géode de galène</w:t>
            </w:r>
          </w:p>
        </w:tc>
      </w:tr>
      <w:tr w:rsidR="00F205DF" w:rsidRPr="00F205DF" w:rsidTr="00CC705A">
        <w:trPr>
          <w:trHeight w:val="3332"/>
          <w:tblCellSpacing w:w="0" w:type="dxa"/>
        </w:trPr>
        <w:tc>
          <w:tcPr>
            <w:tcW w:w="5098" w:type="dxa"/>
            <w:vAlign w:val="center"/>
          </w:tcPr>
          <w:p w:rsidR="00F205DF" w:rsidRPr="00F205DF" w:rsidRDefault="00580654" w:rsidP="00CC705A">
            <w:pPr>
              <w:spacing w:after="0"/>
              <w:jc w:val="center"/>
              <w:rPr>
                <w:rFonts w:eastAsia="Times New Roman" w:cs="Arial"/>
              </w:rPr>
            </w:pPr>
            <w:r w:rsidRPr="00F205DF">
              <w:rPr>
                <w:rFonts w:eastAsia="Times New Roman" w:cs="Arial"/>
                <w:noProof/>
              </w:rPr>
              <w:drawing>
                <wp:inline distT="0" distB="0" distL="0" distR="0" wp14:anchorId="15561FD2" wp14:editId="240F682C">
                  <wp:extent cx="3071385" cy="1970163"/>
                  <wp:effectExtent l="0" t="0" r="2540" b="0"/>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pic:cNvPicPr>
                            <a:picLocks noChangeAspect="1"/>
                          </pic:cNvPicPr>
                        </pic:nvPicPr>
                        <pic:blipFill>
                          <a:blip r:embed="rId15"/>
                          <a:stretch/>
                        </pic:blipFill>
                        <pic:spPr bwMode="auto">
                          <a:xfrm>
                            <a:off x="0" y="0"/>
                            <a:ext cx="3071385" cy="1970163"/>
                          </a:xfrm>
                          <a:prstGeom prst="rect">
                            <a:avLst/>
                          </a:prstGeom>
                          <a:noFill/>
                          <a:ln w="9525">
                            <a:noFill/>
                            <a:miter lim="800000"/>
                            <a:headEnd/>
                            <a:tailEnd/>
                          </a:ln>
                        </pic:spPr>
                      </pic:pic>
                    </a:graphicData>
                  </a:graphic>
                </wp:inline>
              </w:drawing>
            </w:r>
          </w:p>
        </w:tc>
      </w:tr>
    </w:tbl>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
          <w:color w:val="000000"/>
        </w:rPr>
      </w:pPr>
    </w:p>
    <w:p w:rsidR="00F205DF" w:rsidRPr="00F205DF" w:rsidRDefault="00580654" w:rsidP="00F205DF">
      <w:pPr>
        <w:shd w:val="clear" w:color="auto" w:fill="FFFFFF"/>
        <w:spacing w:after="0"/>
        <w:rPr>
          <w:rFonts w:eastAsia="Times New Roman" w:cs="Arial"/>
          <w:bCs/>
        </w:rPr>
      </w:pPr>
    </w:p>
    <w:p w:rsidR="00F205DF" w:rsidRPr="00F205DF" w:rsidRDefault="00580654" w:rsidP="007F486D">
      <w:pPr>
        <w:shd w:val="clear" w:color="auto" w:fill="FFFFFF"/>
        <w:spacing w:before="360" w:after="0"/>
        <w:rPr>
          <w:rFonts w:eastAsia="Times New Roman" w:cs="Arial"/>
          <w:u w:val="single"/>
        </w:rPr>
      </w:pPr>
      <w:r w:rsidRPr="00F205DF">
        <w:rPr>
          <w:rFonts w:eastAsia="Times New Roman" w:cs="Arial"/>
          <w:bCs/>
          <w:u w:val="single"/>
        </w:rPr>
        <w:t>Partie 1 : la galène</w:t>
      </w:r>
    </w:p>
    <w:p w:rsidR="00F205DF" w:rsidRPr="00F205DF" w:rsidRDefault="00580654" w:rsidP="00F205DF">
      <w:pPr>
        <w:shd w:val="clear" w:color="auto" w:fill="FFFFFF"/>
        <w:spacing w:after="0"/>
        <w:rPr>
          <w:rFonts w:eastAsia="Times New Roman" w:cs="Arial"/>
          <w:color w:val="000000"/>
        </w:rPr>
      </w:pPr>
    </w:p>
    <w:p w:rsidR="00F205DF" w:rsidRDefault="00580654" w:rsidP="005B5B78">
      <w:pPr>
        <w:spacing w:after="240"/>
        <w:jc w:val="both"/>
        <w:rPr>
          <w:rFonts w:eastAsia="Times New Roman" w:cs="Arial"/>
          <w:color w:val="000000"/>
        </w:rPr>
      </w:pPr>
      <w:r w:rsidRPr="00F205DF">
        <w:rPr>
          <w:rFonts w:eastAsia="Times New Roman" w:cs="Arial"/>
          <w:b/>
          <w:color w:val="000000"/>
        </w:rPr>
        <w:t>1-</w:t>
      </w:r>
      <w:r w:rsidRPr="00F205DF">
        <w:rPr>
          <w:rFonts w:eastAsia="Times New Roman" w:cs="Arial"/>
          <w:color w:val="000000"/>
        </w:rPr>
        <w:t xml:space="preserve"> La galène est un solide minéral composé en majorité de sulfure de plomb qui possède une structure cristalline de type chlorure de sodium constitué</w:t>
      </w:r>
      <w:r w:rsidRPr="00F205DF">
        <w:rPr>
          <w:rFonts w:eastAsia="Times New Roman" w:cs="Arial"/>
          <w:color w:val="000000" w:themeColor="text1"/>
        </w:rPr>
        <w:t>e</w:t>
      </w:r>
      <w:r w:rsidRPr="00F205DF">
        <w:rPr>
          <w:rFonts w:eastAsia="Times New Roman" w:cs="Arial"/>
          <w:color w:val="000000"/>
        </w:rPr>
        <w:t xml:space="preserve"> des ions plomb Pb</w:t>
      </w:r>
      <w:r w:rsidRPr="00F205DF">
        <w:rPr>
          <w:rFonts w:eastAsia="Times New Roman" w:cs="Arial"/>
          <w:color w:val="000000"/>
          <w:vertAlign w:val="superscript"/>
        </w:rPr>
        <w:t>2+</w:t>
      </w:r>
      <w:r w:rsidRPr="00F205DF">
        <w:rPr>
          <w:rFonts w:eastAsia="Times New Roman" w:cs="Arial"/>
          <w:color w:val="000000"/>
        </w:rPr>
        <w:t> et des ions sulfure S</w:t>
      </w:r>
      <w:r w:rsidRPr="00F205DF">
        <w:rPr>
          <w:rFonts w:eastAsia="Times New Roman" w:cs="Arial"/>
          <w:color w:val="000000"/>
          <w:vertAlign w:val="superscript"/>
        </w:rPr>
        <w:t>2-</w:t>
      </w:r>
      <w:r w:rsidRPr="00EC36F1">
        <w:rPr>
          <w:rFonts w:eastAsia="Times New Roman" w:cs="Arial"/>
          <w:color w:val="000000"/>
        </w:rPr>
        <w:t xml:space="preserve"> (voir document 1</w:t>
      </w:r>
      <w:r>
        <w:rPr>
          <w:rFonts w:eastAsia="Times New Roman" w:cs="Arial"/>
          <w:color w:val="000000"/>
        </w:rPr>
        <w:t xml:space="preserve"> page suivante</w:t>
      </w:r>
      <w:r w:rsidRPr="00EC36F1">
        <w:rPr>
          <w:rFonts w:eastAsia="Times New Roman" w:cs="Arial"/>
          <w:color w:val="000000"/>
        </w:rPr>
        <w:t>)</w:t>
      </w:r>
      <w:r w:rsidRPr="00F205DF">
        <w:rPr>
          <w:rFonts w:eastAsia="Times New Roman" w:cs="Arial"/>
          <w:color w:val="000000"/>
        </w:rPr>
        <w:t xml:space="preserve">. </w:t>
      </w:r>
    </w:p>
    <w:p w:rsidR="005B5B78" w:rsidRPr="00F205DF" w:rsidRDefault="00580654" w:rsidP="005B5B78">
      <w:pPr>
        <w:spacing w:after="240"/>
        <w:rPr>
          <w:rFonts w:eastAsia="Times New Roman" w:cs="Arial"/>
        </w:rPr>
      </w:pPr>
      <w:r w:rsidRPr="00F205DF">
        <w:rPr>
          <w:rFonts w:eastAsia="Times New Roman" w:cs="Arial"/>
          <w:b/>
          <w:bCs/>
          <w:color w:val="000000"/>
        </w:rPr>
        <w:t>1-a-</w:t>
      </w:r>
      <w:r w:rsidRPr="00F205DF">
        <w:rPr>
          <w:rFonts w:eastAsia="Times New Roman" w:cs="Arial"/>
          <w:color w:val="000000"/>
        </w:rPr>
        <w:t xml:space="preserve"> Déterminer le type de réseau </w:t>
      </w:r>
      <w:r w:rsidRPr="00F205DF">
        <w:rPr>
          <w:rFonts w:eastAsia="Times New Roman" w:cs="Arial"/>
        </w:rPr>
        <w:t>cristallin f</w:t>
      </w:r>
      <w:r w:rsidRPr="00F205DF">
        <w:rPr>
          <w:rFonts w:eastAsia="Times New Roman" w:cs="Arial"/>
          <w:color w:val="000000"/>
        </w:rPr>
        <w:t>ormé par les ions plomb Pb</w:t>
      </w:r>
      <w:r w:rsidRPr="00F205DF">
        <w:rPr>
          <w:rFonts w:eastAsia="Times New Roman" w:cs="Arial"/>
          <w:color w:val="000000"/>
          <w:vertAlign w:val="superscript"/>
        </w:rPr>
        <w:t>2+</w:t>
      </w:r>
      <w:r w:rsidRPr="00F205DF">
        <w:rPr>
          <w:rFonts w:eastAsia="Times New Roman" w:cs="Arial"/>
          <w:color w:val="000000"/>
        </w:rPr>
        <w:t>.</w:t>
      </w:r>
    </w:p>
    <w:p w:rsidR="005B5B78" w:rsidRPr="00F205DF" w:rsidRDefault="00580654" w:rsidP="005B5B78">
      <w:pPr>
        <w:spacing w:after="0"/>
        <w:jc w:val="both"/>
        <w:rPr>
          <w:rFonts w:eastAsia="Times New Roman" w:cs="Arial"/>
        </w:rPr>
      </w:pPr>
      <w:r w:rsidRPr="00F205DF">
        <w:rPr>
          <w:rFonts w:eastAsia="Times New Roman" w:cs="Arial"/>
          <w:b/>
          <w:bCs/>
          <w:color w:val="000000"/>
        </w:rPr>
        <w:t>1-b-</w:t>
      </w:r>
      <w:r w:rsidRPr="00F205DF">
        <w:rPr>
          <w:rFonts w:eastAsia="Times New Roman" w:cs="Arial"/>
          <w:color w:val="000000"/>
        </w:rPr>
        <w:t> Préciser les différentes positions occupées par les ions sulfure S</w:t>
      </w:r>
      <w:r w:rsidRPr="00F205DF">
        <w:rPr>
          <w:rFonts w:eastAsia="Times New Roman" w:cs="Arial"/>
          <w:color w:val="000000"/>
          <w:vertAlign w:val="superscript"/>
        </w:rPr>
        <w:t xml:space="preserve">2- </w:t>
      </w:r>
      <w:r w:rsidRPr="00F205DF">
        <w:rPr>
          <w:rFonts w:eastAsia="Times New Roman" w:cs="Arial"/>
        </w:rPr>
        <w:t>dans la maille.</w:t>
      </w:r>
    </w:p>
    <w:p w:rsidR="005B5B78" w:rsidRPr="00F205DF" w:rsidRDefault="00580654" w:rsidP="005B5B78">
      <w:pPr>
        <w:spacing w:after="0"/>
        <w:rPr>
          <w:rFonts w:eastAsia="Times New Roman" w:cs="Arial"/>
        </w:rPr>
      </w:pPr>
    </w:p>
    <w:p w:rsidR="005B5B78" w:rsidRDefault="00580654">
      <w:pPr>
        <w:spacing w:after="0" w:line="240" w:lineRule="auto"/>
        <w:rPr>
          <w:rFonts w:eastAsia="Times New Roman" w:cs="Arial"/>
          <w:color w:val="000000"/>
        </w:rPr>
      </w:pPr>
      <w:r>
        <w:rPr>
          <w:rFonts w:eastAsia="Times New Roman" w:cs="Arial"/>
          <w:color w:val="000000"/>
        </w:rPr>
        <w:br w:type="page"/>
      </w:r>
    </w:p>
    <w:p w:rsidR="001F3958" w:rsidRDefault="00580654">
      <w:pPr>
        <w:spacing w:after="0" w:line="240" w:lineRule="auto"/>
        <w:rPr>
          <w:rFonts w:eastAsia="Times New Roman" w:cs="Arial"/>
          <w:color w:val="000000"/>
        </w:rPr>
      </w:pPr>
    </w:p>
    <w:p w:rsidR="00F205DF" w:rsidRPr="00F205DF" w:rsidRDefault="00580654" w:rsidP="005B5B78">
      <w:pPr>
        <w:pBdr>
          <w:top w:val="single" w:sz="4" w:space="6" w:color="auto"/>
          <w:left w:val="single" w:sz="4" w:space="4" w:color="auto"/>
          <w:bottom w:val="single" w:sz="4" w:space="6" w:color="auto"/>
          <w:right w:val="single" w:sz="4" w:space="4" w:color="auto"/>
        </w:pBdr>
        <w:spacing w:before="120" w:after="120"/>
        <w:rPr>
          <w:rFonts w:eastAsia="Times New Roman" w:cs="Arial"/>
          <w:color w:val="000000"/>
          <w:u w:val="single"/>
        </w:rPr>
      </w:pPr>
      <w:r w:rsidRPr="00F205DF">
        <w:rPr>
          <w:rFonts w:eastAsia="Times New Roman" w:cs="Arial"/>
          <w:bCs/>
          <w:color w:val="000000"/>
          <w:u w:val="single"/>
        </w:rPr>
        <w:t>Document 1 :</w:t>
      </w:r>
      <w:r w:rsidRPr="00F205DF">
        <w:rPr>
          <w:rFonts w:eastAsia="Times New Roman" w:cs="Arial"/>
          <w:color w:val="000000"/>
          <w:u w:val="single"/>
        </w:rPr>
        <w:t xml:space="preserve"> une maille de la structure cristalline de sulfure de plomb.</w:t>
      </w:r>
    </w:p>
    <w:p w:rsidR="00F205DF" w:rsidRPr="00F205DF" w:rsidRDefault="00580654" w:rsidP="005B5B78">
      <w:pPr>
        <w:pBdr>
          <w:top w:val="single" w:sz="4" w:space="6" w:color="auto"/>
          <w:left w:val="single" w:sz="4" w:space="4" w:color="auto"/>
          <w:bottom w:val="single" w:sz="4" w:space="6" w:color="auto"/>
          <w:right w:val="single" w:sz="4" w:space="4" w:color="auto"/>
        </w:pBdr>
        <w:spacing w:after="0"/>
        <w:jc w:val="center"/>
        <w:rPr>
          <w:rFonts w:eastAsia="Times New Roman" w:cs="Arial"/>
          <w:color w:val="000000"/>
        </w:rPr>
      </w:pPr>
      <w:r w:rsidRPr="00F205DF">
        <w:rPr>
          <w:rFonts w:eastAsia="Times New Roman" w:cs="Arial"/>
          <w:noProof/>
          <w:color w:val="000000"/>
        </w:rPr>
        <mc:AlternateContent>
          <mc:Choice Requires="wps">
            <w:drawing>
              <wp:anchor distT="0" distB="0" distL="114300" distR="114300" simplePos="0" relativeHeight="251665408" behindDoc="0" locked="0" layoutInCell="1" allowOverlap="1" wp14:anchorId="7E1C3241" wp14:editId="1AC0D264">
                <wp:simplePos x="0" y="0"/>
                <wp:positionH relativeFrom="column">
                  <wp:posOffset>420370</wp:posOffset>
                </wp:positionH>
                <wp:positionV relativeFrom="paragraph">
                  <wp:posOffset>1398270</wp:posOffset>
                </wp:positionV>
                <wp:extent cx="1083733" cy="11218"/>
                <wp:effectExtent l="0" t="63500" r="0" b="65405"/>
                <wp:wrapNone/>
                <wp:docPr id="7" name="Connecteur droit avec flèche 20"/>
                <wp:cNvGraphicFramePr/>
                <a:graphic xmlns:a="http://schemas.openxmlformats.org/drawingml/2006/main">
                  <a:graphicData uri="http://schemas.microsoft.com/office/word/2010/wordprocessingShape">
                    <wps:wsp>
                      <wps:cNvCnPr/>
                      <wps:spPr>
                        <a:xfrm flipV="1">
                          <a:off x="0" y="0"/>
                          <a:ext cx="1083733" cy="112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BC364D0">
              <v:shapetype id="_x0000_t32" coordsize="21600,21600" o:oned="t" filled="f" o:spt="32" path="m,l21600,21600e" w14:anchorId="5C3FD93F">
                <v:path fillok="f" arrowok="t" o:connecttype="none"/>
                <o:lock v:ext="edit" shapetype="t"/>
              </v:shapetype>
              <v:shape id="Connecteur droit avec flèche 20" style="position:absolute;margin-left:33.1pt;margin-top:110.1pt;width:85.35pt;height:.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">
                <v:stroke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4384" behindDoc="0" locked="0" layoutInCell="1" allowOverlap="1" wp14:anchorId="7253F3A8" wp14:editId="19B7701D">
                <wp:simplePos x="0" y="0"/>
                <wp:positionH relativeFrom="column">
                  <wp:posOffset>420370</wp:posOffset>
                </wp:positionH>
                <wp:positionV relativeFrom="paragraph">
                  <wp:posOffset>452755</wp:posOffset>
                </wp:positionV>
                <wp:extent cx="1176655" cy="0"/>
                <wp:effectExtent l="0" t="63500" r="0" b="76200"/>
                <wp:wrapNone/>
                <wp:docPr id="8" name="Connecteur droit avec flèche 19"/>
                <wp:cNvGraphicFramePr/>
                <a:graphic xmlns:a="http://schemas.openxmlformats.org/drawingml/2006/main">
                  <a:graphicData uri="http://schemas.microsoft.com/office/word/2010/wordprocessingShape">
                    <wps:wsp>
                      <wps:cNvCnPr/>
                      <wps:spPr>
                        <a:xfrm>
                          <a:off x="0" y="0"/>
                          <a:ext cx="11766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EB38409">
              <v:shape id="Connecteur droit avec flèche 19" style="position:absolute;margin-left:33.1pt;margin-top:35.65pt;width:92.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" w14:anchorId="1BA9E71A">
                <v:stroke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2336" behindDoc="0" locked="0" layoutInCell="1" allowOverlap="1" wp14:anchorId="2D54DA95" wp14:editId="2B525C00">
                <wp:simplePos x="0" y="0"/>
                <wp:positionH relativeFrom="column">
                  <wp:posOffset>0</wp:posOffset>
                </wp:positionH>
                <wp:positionV relativeFrom="paragraph">
                  <wp:posOffset>282998</wp:posOffset>
                </wp:positionV>
                <wp:extent cx="549274" cy="351154"/>
                <wp:effectExtent l="0" t="0" r="10160" b="17780"/>
                <wp:wrapNone/>
                <wp:docPr id="9" name="Text Box 11"/>
                <wp:cNvGraphicFramePr/>
                <a:graphic xmlns:a="http://schemas.openxmlformats.org/drawingml/2006/main">
                  <a:graphicData uri="http://schemas.microsoft.com/office/word/2010/wordprocessingShape">
                    <wps:wsp>
                      <wps:cNvSpPr/>
                      <wps:spPr bwMode="auto">
                        <a:xfrm>
                          <a:off x="0" y="0"/>
                          <a:ext cx="549274" cy="351154"/>
                        </a:xfrm>
                        <a:prstGeom prst="rect">
                          <a:avLst/>
                        </a:prstGeom>
                        <a:solidFill>
                          <a:srgbClr val="FFFFFF">
                            <a:alpha val="0"/>
                          </a:srgbClr>
                        </a:solidFill>
                        <a:ln w="9525">
                          <a:solidFill>
                            <a:schemeClr val="bg1">
                              <a:lumMod val="100000"/>
                              <a:lumOff val="0"/>
                            </a:schemeClr>
                          </a:solidFill>
                          <a:miter lim="800000"/>
                          <a:headEnd/>
                          <a:tailEnd/>
                        </a:ln>
                      </wps:spPr>
                      <wps:txbx>
                        <w:txbxContent>
                          <w:p w:rsidR="00F205DF" w:rsidRDefault="00580654" w:rsidP="00F205DF">
                            <w:r>
                              <w:rPr>
                                <w:rFonts w:eastAsia="Times New Roman" w:cs="Arial"/>
                                <w:color w:val="000000"/>
                              </w:rPr>
                              <w:t>Pb</w:t>
                            </w:r>
                            <w:r>
                              <w:rPr>
                                <w:rFonts w:eastAsia="Times New Roman" w:cs="Arial"/>
                                <w:color w:val="000000"/>
                                <w:vertAlign w:val="superscript"/>
                              </w:rPr>
                              <w:t>2+</w:t>
                            </w:r>
                            <w:r>
                              <w:rPr>
                                <w:rFonts w:eastAsia="Times New Roman" w:cs="Arial"/>
                                <w:color w:val="000000"/>
                              </w:rPr>
                              <w:t> </w:t>
                            </w:r>
                          </w:p>
                          <w:p w:rsidR="00F205DF" w:rsidRDefault="00580654" w:rsidP="00F205DF">
                            <w:pPr>
                              <w:pBdr>
                                <w:right w:val="none" w:sz="4" w:space="8" w:color="000000"/>
                              </w:pBdr>
                            </w:pPr>
                            <w:r>
                              <w:t>Pb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D54DA95" id="Text Box 11" o:spid="_x0000_s1026" style="position:absolute;left:0;text-align:left;margin-left:0;margin-top:22.3pt;width:43.25pt;height:2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" strokecolor="white [3212]">
                <v:fill opacity="0"/>
                <v:textbox>
                  <w:txbxContent>
                    <w:p w:rsidR="00F205DF" w:rsidRDefault="00A368D0" w:rsidP="00F205DF">
                      <w:r>
                        <w:rPr>
                          <w:rFonts w:eastAsia="Times New Roman" w:cs="Arial"/>
                          <w:color w:val="000000"/>
                        </w:rPr>
                        <w:t>Pb</w:t>
                      </w:r>
                      <w:r>
                        <w:rPr>
                          <w:rFonts w:eastAsia="Times New Roman" w:cs="Arial"/>
                          <w:color w:val="000000"/>
                          <w:vertAlign w:val="superscript"/>
                        </w:rPr>
                        <w:t>2+</w:t>
                      </w:r>
                      <w:r>
                        <w:rPr>
                          <w:rFonts w:eastAsia="Times New Roman" w:cs="Arial"/>
                          <w:color w:val="000000"/>
                        </w:rPr>
                        <w:t> </w:t>
                      </w:r>
                    </w:p>
                    <w:p w:rsidR="00F205DF" w:rsidRDefault="00A368D0" w:rsidP="00F205DF">
                      <w:pPr>
                        <w:pBdr>
                          <w:right w:val="none" w:sz="4" w:space="8" w:color="000000"/>
                        </w:pBdr>
                      </w:pPr>
                      <w:r>
                        <w:t>Pb</w:t>
                      </w:r>
                    </w:p>
                  </w:txbxContent>
                </v:textbox>
              </v:rect>
            </w:pict>
          </mc:Fallback>
        </mc:AlternateContent>
      </w:r>
      <w:r w:rsidRPr="00F205DF">
        <w:rPr>
          <w:rFonts w:eastAsia="Times New Roman" w:cs="Arial"/>
          <w:noProof/>
          <w:color w:val="000000"/>
        </w:rPr>
        <mc:AlternateContent>
          <mc:Choice Requires="wps">
            <w:drawing>
              <wp:anchor distT="0" distB="0" distL="114300" distR="114300" simplePos="0" relativeHeight="251663360" behindDoc="0" locked="0" layoutInCell="1" allowOverlap="1" wp14:anchorId="11A0259F" wp14:editId="47D01263">
                <wp:simplePos x="0" y="0"/>
                <wp:positionH relativeFrom="column">
                  <wp:posOffset>57785</wp:posOffset>
                </wp:positionH>
                <wp:positionV relativeFrom="paragraph">
                  <wp:posOffset>1211580</wp:posOffset>
                </wp:positionV>
                <wp:extent cx="478790" cy="374015"/>
                <wp:effectExtent l="4762" t="4762" r="4762" b="4762"/>
                <wp:wrapNone/>
                <wp:docPr id="10" name="Text Box 12"/>
                <wp:cNvGraphicFramePr/>
                <a:graphic xmlns:a="http://schemas.openxmlformats.org/drawingml/2006/main">
                  <a:graphicData uri="http://schemas.microsoft.com/office/word/2010/wordprocessingShape">
                    <wps:wsp>
                      <wps:cNvSpPr/>
                      <wps:spPr bwMode="auto">
                        <a:xfrm>
                          <a:off x="0" y="0"/>
                          <a:ext cx="478790" cy="374015"/>
                        </a:xfrm>
                        <a:prstGeom prst="rect">
                          <a:avLst/>
                        </a:prstGeom>
                        <a:noFill/>
                        <a:ln w="9525">
                          <a:solidFill>
                            <a:schemeClr val="bg1">
                              <a:lumMod val="100000"/>
                              <a:lumOff val="0"/>
                            </a:schemeClr>
                          </a:solidFill>
                          <a:miter lim="800000"/>
                          <a:headEnd/>
                          <a:tailEnd/>
                        </a:ln>
                      </wps:spPr>
                      <wps:txbx>
                        <w:txbxContent>
                          <w:p w:rsidR="00F205DF" w:rsidRDefault="00580654" w:rsidP="00F205DF">
                            <w:pPr>
                              <w:pBdr>
                                <w:right w:val="none" w:sz="4" w:space="8" w:color="000000"/>
                              </w:pBdr>
                              <w:rPr>
                                <w:color w:val="000000"/>
                              </w:rPr>
                            </w:pPr>
                            <w:r>
                              <w:rPr>
                                <w:rFonts w:eastAsia="Times New Roman" w:cs="Arial"/>
                                <w:color w:val="000000" w:themeColor="text1"/>
                              </w:rPr>
                              <w:t>S</w:t>
                            </w:r>
                            <w:r>
                              <w:rPr>
                                <w:rFonts w:eastAsia="Times New Roman" w:cs="Arial"/>
                                <w:color w:val="000000" w:themeColor="text1"/>
                                <w:vertAlign w:val="superscript"/>
                              </w:rPr>
                              <w:t>2-</w:t>
                            </w:r>
                          </w:p>
                        </w:txbxContent>
                      </wps:txbx>
                      <wps:bodyPr rot="0" vert="horz" wrap="square" lIns="91440" tIns="45720" rIns="91440" bIns="45720" anchor="t" anchorCtr="0" upright="1">
                        <a:noAutofit/>
                      </wps:bodyPr>
                    </wps:wsp>
                  </a:graphicData>
                </a:graphic>
              </wp:anchor>
            </w:drawing>
          </mc:Choice>
          <mc:Fallback>
            <w:pict>
              <v:rect w14:anchorId="11A0259F" id="Text Box 12" o:spid="_x0000_s1027" style="position:absolute;left:0;text-align:left;margin-left:4.55pt;margin-top:95.4pt;width:37.7pt;height:29.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" filled="f" strokecolor="white [3212]">
                <v:textbox>
                  <w:txbxContent>
                    <w:p w:rsidR="00F205DF" w:rsidRDefault="00A368D0" w:rsidP="00F205DF">
                      <w:pPr>
                        <w:pBdr>
                          <w:right w:val="none" w:sz="4" w:space="8" w:color="000000"/>
                        </w:pBdr>
                        <w:rPr>
                          <w:color w:val="000000"/>
                        </w:rPr>
                      </w:pPr>
                      <w:r>
                        <w:rPr>
                          <w:rFonts w:eastAsia="Times New Roman" w:cs="Arial"/>
                          <w:color w:val="000000" w:themeColor="text1"/>
                        </w:rPr>
                        <w:t>S</w:t>
                      </w:r>
                      <w:r>
                        <w:rPr>
                          <w:rFonts w:eastAsia="Times New Roman" w:cs="Arial"/>
                          <w:color w:val="000000" w:themeColor="text1"/>
                          <w:vertAlign w:val="superscript"/>
                        </w:rPr>
                        <w:t>2-</w:t>
                      </w:r>
                    </w:p>
                  </w:txbxContent>
                </v:textbox>
              </v:rect>
            </w:pict>
          </mc:Fallback>
        </mc:AlternateContent>
      </w:r>
      <w:r w:rsidRPr="00F205DF">
        <w:rPr>
          <w:rFonts w:eastAsia="Times New Roman" w:cs="Arial"/>
          <w:noProof/>
          <w:color w:val="000000"/>
        </w:rPr>
        <mc:AlternateContent>
          <mc:Choice Requires="wps">
            <w:drawing>
              <wp:anchor distT="0" distB="0" distL="114300" distR="114300" simplePos="0" relativeHeight="251661312" behindDoc="0" locked="0" layoutInCell="1" allowOverlap="1" wp14:anchorId="145E40B3" wp14:editId="7EE4D99B">
                <wp:simplePos x="0" y="0"/>
                <wp:positionH relativeFrom="column">
                  <wp:posOffset>4458758</wp:posOffset>
                </wp:positionH>
                <wp:positionV relativeFrom="paragraph">
                  <wp:posOffset>198755</wp:posOffset>
                </wp:positionV>
                <wp:extent cx="212" cy="1828800"/>
                <wp:effectExtent l="63500" t="25400" r="38100" b="38100"/>
                <wp:wrapNone/>
                <wp:docPr id="11" name="AutoShape 16"/>
                <wp:cNvGraphicFramePr/>
                <a:graphic xmlns:a="http://schemas.openxmlformats.org/drawingml/2006/main">
                  <a:graphicData uri="http://schemas.microsoft.com/office/word/2010/wordprocessingShape">
                    <wps:wsp>
                      <wps:cNvCnPr/>
                      <wps:spPr bwMode="auto">
                        <a:xfrm flipH="1">
                          <a:off x="0" y="0"/>
                          <a:ext cx="212" cy="182880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w14:anchorId="39D4B291">
              <v:shape id="AutoShape 16" style="position:absolute;margin-left:351.1pt;margin-top:15.65pt;width:0;height:2in;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" w14:anchorId="097C1F92">
                <v:stroke startarrow="block"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0288" behindDoc="0" locked="0" layoutInCell="1" allowOverlap="1" wp14:anchorId="2C7D138F" wp14:editId="55641F5A">
                <wp:simplePos x="0" y="0"/>
                <wp:positionH relativeFrom="column">
                  <wp:posOffset>4453255</wp:posOffset>
                </wp:positionH>
                <wp:positionV relativeFrom="paragraph">
                  <wp:posOffset>1094105</wp:posOffset>
                </wp:positionV>
                <wp:extent cx="327025" cy="310515"/>
                <wp:effectExtent l="5715" t="11430" r="9524" b="10794"/>
                <wp:wrapNone/>
                <wp:docPr id="12" name="Text Box 15"/>
                <wp:cNvGraphicFramePr/>
                <a:graphic xmlns:a="http://schemas.openxmlformats.org/drawingml/2006/main">
                  <a:graphicData uri="http://schemas.microsoft.com/office/word/2010/wordprocessingShape">
                    <wps:wsp>
                      <wps:cNvSpPr/>
                      <wps:spPr bwMode="auto">
                        <a:xfrm>
                          <a:off x="0" y="0"/>
                          <a:ext cx="327025" cy="310515"/>
                        </a:xfrm>
                        <a:prstGeom prst="rect">
                          <a:avLst/>
                        </a:prstGeom>
                        <a:solidFill>
                          <a:srgbClr val="FFFFFF"/>
                        </a:solidFill>
                        <a:ln w="9525">
                          <a:solidFill>
                            <a:schemeClr val="bg1">
                              <a:lumMod val="100000"/>
                              <a:lumOff val="0"/>
                            </a:schemeClr>
                          </a:solidFill>
                          <a:miter lim="800000"/>
                          <a:headEnd/>
                          <a:tailEnd/>
                        </a:ln>
                      </wps:spPr>
                      <wps:txbx>
                        <w:txbxContent>
                          <w:p w:rsidR="00F205DF" w:rsidRDefault="00580654" w:rsidP="00F205DF">
                            <w:r>
                              <w:rPr>
                                <w:rFonts w:eastAsia="Times New Roman" w:cs="Arial"/>
                                <w:iCs/>
                                <w:color w:val="000000"/>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C7D138F" id="Text Box 15" o:spid="_x0000_s1028" style="position:absolute;left:0;text-align:left;margin-left:350.65pt;margin-top:86.15pt;width:25.75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" strokecolor="white [3212]">
                <v:textbox>
                  <w:txbxContent>
                    <w:p w:rsidR="00F205DF" w:rsidRDefault="00A368D0" w:rsidP="00F205DF">
                      <w:proofErr w:type="gramStart"/>
                      <w:r>
                        <w:rPr>
                          <w:rFonts w:eastAsia="Times New Roman" w:cs="Arial"/>
                          <w:iCs/>
                          <w:color w:val="000000"/>
                        </w:rPr>
                        <w:t>a</w:t>
                      </w:r>
                      <w:proofErr w:type="gramEnd"/>
                    </w:p>
                  </w:txbxContent>
                </v:textbox>
              </v:rect>
            </w:pict>
          </mc:Fallback>
        </mc:AlternateContent>
      </w:r>
      <w:r w:rsidRPr="00F205DF">
        <w:rPr>
          <w:rFonts w:eastAsia="Times New Roman" w:cs="Arial"/>
          <w:noProof/>
          <w:color w:val="000000"/>
        </w:rPr>
        <w:drawing>
          <wp:inline distT="0" distB="0" distL="0" distR="0" wp14:anchorId="7D13A7B1" wp14:editId="761535FF">
            <wp:extent cx="2751667" cy="2502840"/>
            <wp:effectExtent l="0" t="0" r="4445" b="0"/>
            <wp:docPr id="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16"/>
                    <a:stretch/>
                  </pic:blipFill>
                  <pic:spPr bwMode="auto">
                    <a:xfrm>
                      <a:off x="0" y="0"/>
                      <a:ext cx="2767637" cy="2517366"/>
                    </a:xfrm>
                    <a:prstGeom prst="rect">
                      <a:avLst/>
                    </a:prstGeom>
                    <a:noFill/>
                    <a:ln w="9525">
                      <a:noFill/>
                      <a:miter lim="800000"/>
                      <a:headEnd/>
                      <a:tailEnd/>
                    </a:ln>
                  </pic:spPr>
                </pic:pic>
              </a:graphicData>
            </a:graphic>
          </wp:inline>
        </w:drawing>
      </w:r>
    </w:p>
    <w:p w:rsidR="005B5B78" w:rsidRDefault="00580654" w:rsidP="00F205DF">
      <w:pPr>
        <w:spacing w:after="0"/>
        <w:rPr>
          <w:rFonts w:eastAsia="Times New Roman" w:cs="Arial"/>
          <w:b/>
          <w:bCs/>
          <w:color w:val="000000"/>
        </w:rPr>
      </w:pPr>
    </w:p>
    <w:p w:rsidR="00F205DF" w:rsidRPr="00F205DF" w:rsidRDefault="00580654" w:rsidP="004539DB">
      <w:pPr>
        <w:spacing w:before="120" w:after="240"/>
        <w:jc w:val="both"/>
        <w:rPr>
          <w:rFonts w:eastAsia="Times New Roman" w:cs="Arial"/>
        </w:rPr>
      </w:pPr>
      <w:r w:rsidRPr="00F205DF">
        <w:rPr>
          <w:rFonts w:eastAsia="Times New Roman" w:cs="Arial"/>
          <w:b/>
          <w:bCs/>
          <w:color w:val="000000"/>
        </w:rPr>
        <w:t>2-a-</w:t>
      </w:r>
      <w:r w:rsidRPr="00F205DF">
        <w:rPr>
          <w:rFonts w:eastAsia="Times New Roman" w:cs="Arial"/>
          <w:color w:val="000000"/>
        </w:rPr>
        <w:t> </w:t>
      </w:r>
      <w:r w:rsidRPr="00F205DF">
        <w:rPr>
          <w:rFonts w:eastAsia="Times New Roman" w:cs="Arial"/>
        </w:rPr>
        <w:t>Justifier qu’il y a quatre ions plomb Pb</w:t>
      </w:r>
      <w:r w:rsidRPr="00F205DF">
        <w:rPr>
          <w:rFonts w:eastAsia="Times New Roman" w:cs="Arial"/>
          <w:vertAlign w:val="superscript"/>
        </w:rPr>
        <w:t>2+</w:t>
      </w:r>
      <w:r w:rsidRPr="00F205DF">
        <w:rPr>
          <w:rFonts w:eastAsia="Times New Roman" w:cs="Arial"/>
        </w:rPr>
        <w:t xml:space="preserve"> et quatre ions sulfure S</w:t>
      </w:r>
      <w:r w:rsidRPr="00F205DF">
        <w:rPr>
          <w:rFonts w:eastAsia="Times New Roman" w:cs="Arial"/>
          <w:vertAlign w:val="superscript"/>
        </w:rPr>
        <w:t>2-</w:t>
      </w:r>
      <w:r w:rsidRPr="00F205DF">
        <w:rPr>
          <w:rFonts w:eastAsia="Times New Roman" w:cs="Arial"/>
        </w:rPr>
        <w:t> dans la maille.</w:t>
      </w:r>
    </w:p>
    <w:p w:rsidR="00F205DF" w:rsidRPr="00F205DF" w:rsidRDefault="00580654" w:rsidP="007F486D">
      <w:pPr>
        <w:spacing w:after="120"/>
        <w:jc w:val="both"/>
        <w:rPr>
          <w:rFonts w:eastAsia="Times New Roman" w:cs="Arial"/>
        </w:rPr>
      </w:pPr>
      <w:r w:rsidRPr="00F205DF">
        <w:rPr>
          <w:rFonts w:eastAsia="Times New Roman" w:cs="Arial"/>
          <w:b/>
          <w:bCs/>
        </w:rPr>
        <w:t>2-b-</w:t>
      </w:r>
      <w:r w:rsidRPr="00F205DF">
        <w:rPr>
          <w:rFonts w:eastAsia="Times New Roman" w:cs="Arial"/>
        </w:rPr>
        <w:t> Choisir la formule chimique du sulfure de plomb parmi les quatre proposées ci-dessous et la recopier sur la copie.</w:t>
      </w:r>
    </w:p>
    <w:p w:rsidR="00F205DF" w:rsidRPr="00F205DF" w:rsidRDefault="00580654" w:rsidP="004539DB">
      <w:pPr>
        <w:shd w:val="clear" w:color="auto" w:fill="FFFFFF"/>
        <w:spacing w:after="240"/>
        <w:ind w:firstLine="708"/>
        <w:jc w:val="both"/>
        <w:rPr>
          <w:rFonts w:eastAsia="Times New Roman" w:cs="Arial"/>
          <w:color w:val="000000"/>
          <w:lang w:val="en-US"/>
        </w:rPr>
      </w:pPr>
      <w:r w:rsidRPr="00F205DF">
        <w:rPr>
          <w:rFonts w:eastAsia="Times New Roman" w:cs="Arial"/>
          <w:color w:val="000000" w:themeColor="text1"/>
          <w:lang w:val="en-US"/>
        </w:rPr>
        <w:t>A :  Pb</w:t>
      </w:r>
      <w:r w:rsidRPr="00F205DF">
        <w:rPr>
          <w:rFonts w:eastAsia="Times New Roman" w:cs="Arial"/>
          <w:color w:val="000000" w:themeColor="text1"/>
          <w:vertAlign w:val="subscript"/>
          <w:lang w:val="en-US"/>
        </w:rPr>
        <w:t>2</w:t>
      </w:r>
      <w:r w:rsidRPr="00F205DF">
        <w:rPr>
          <w:rFonts w:eastAsia="Times New Roman" w:cs="Arial"/>
          <w:color w:val="000000" w:themeColor="text1"/>
          <w:lang w:val="en-US"/>
        </w:rPr>
        <w:t>S</w:t>
      </w:r>
      <w:r w:rsidRPr="00F205DF">
        <w:rPr>
          <w:rFonts w:eastAsia="Times New Roman" w:cs="Arial"/>
          <w:color w:val="000000" w:themeColor="text1"/>
          <w:lang w:val="en-US"/>
        </w:rPr>
        <w:tab/>
      </w:r>
      <w:r w:rsidRPr="00F205DF">
        <w:rPr>
          <w:rFonts w:eastAsia="Times New Roman" w:cs="Arial"/>
          <w:color w:val="000000" w:themeColor="text1"/>
          <w:lang w:val="en-US"/>
        </w:rPr>
        <w:tab/>
        <w:t>B :  PbS</w:t>
      </w:r>
      <w:r w:rsidRPr="00F205DF">
        <w:rPr>
          <w:rFonts w:eastAsia="Times New Roman" w:cs="Arial"/>
          <w:color w:val="000000" w:themeColor="text1"/>
          <w:vertAlign w:val="subscript"/>
          <w:lang w:val="en-US"/>
        </w:rPr>
        <w:t>2</w:t>
      </w:r>
      <w:r w:rsidRPr="00F205DF">
        <w:rPr>
          <w:rFonts w:eastAsia="Times New Roman" w:cs="Arial"/>
          <w:color w:val="000000" w:themeColor="text1"/>
          <w:lang w:val="en-US"/>
        </w:rPr>
        <w:tab/>
      </w:r>
      <w:r w:rsidRPr="00F205DF">
        <w:rPr>
          <w:rFonts w:eastAsia="Times New Roman" w:cs="Arial"/>
          <w:color w:val="000000" w:themeColor="text1"/>
          <w:lang w:val="en-US"/>
        </w:rPr>
        <w:tab/>
        <w:t>C :  PbS</w:t>
      </w:r>
      <w:r w:rsidRPr="00F205DF">
        <w:rPr>
          <w:rFonts w:eastAsia="Times New Roman" w:cs="Arial"/>
          <w:color w:val="000000" w:themeColor="text1"/>
          <w:lang w:val="en-US"/>
        </w:rPr>
        <w:tab/>
      </w:r>
      <w:r w:rsidRPr="00F205DF">
        <w:rPr>
          <w:rFonts w:eastAsia="Times New Roman" w:cs="Arial"/>
          <w:color w:val="000000" w:themeColor="text1"/>
          <w:lang w:val="en-US"/>
        </w:rPr>
        <w:tab/>
      </w:r>
      <w:r w:rsidRPr="00F205DF">
        <w:rPr>
          <w:rFonts w:eastAsia="Times New Roman" w:cs="Arial"/>
          <w:color w:val="000000" w:themeColor="text1"/>
          <w:lang w:val="en-US"/>
        </w:rPr>
        <w:t>D :  PbS</w:t>
      </w:r>
      <w:r w:rsidRPr="00F205DF">
        <w:rPr>
          <w:rFonts w:eastAsia="Times New Roman" w:cs="Arial"/>
          <w:color w:val="000000" w:themeColor="text1"/>
          <w:vertAlign w:val="subscript"/>
          <w:lang w:val="en-US"/>
        </w:rPr>
        <w:t>4</w:t>
      </w:r>
    </w:p>
    <w:p w:rsidR="00F205DF" w:rsidRPr="00F205DF" w:rsidRDefault="00580654" w:rsidP="007F486D">
      <w:pPr>
        <w:shd w:val="clear" w:color="auto" w:fill="FFFFFF"/>
        <w:spacing w:after="120"/>
        <w:jc w:val="both"/>
        <w:rPr>
          <w:rFonts w:eastAsia="Times New Roman" w:cs="Arial"/>
        </w:rPr>
      </w:pPr>
      <w:r w:rsidRPr="00F205DF">
        <w:rPr>
          <w:rFonts w:eastAsia="Times New Roman" w:cs="Arial"/>
          <w:b/>
        </w:rPr>
        <w:t>3-</w:t>
      </w:r>
      <w:r w:rsidRPr="00F205DF">
        <w:rPr>
          <w:rFonts w:eastAsia="Times New Roman" w:cs="Arial"/>
        </w:rPr>
        <w:t xml:space="preserve"> La forme géométrique de la maille et la nature des ions qui la constituent sont à l’origine des propriétés macroscopiques du cristal, notamment de sa masse volumique.</w:t>
      </w:r>
    </w:p>
    <w:p w:rsidR="00F205DF" w:rsidRPr="00F205DF" w:rsidRDefault="00580654" w:rsidP="007F486D">
      <w:pPr>
        <w:spacing w:after="120"/>
        <w:jc w:val="both"/>
        <w:rPr>
          <w:rFonts w:eastAsia="Times New Roman" w:cs="Arial"/>
          <w:color w:val="000000"/>
        </w:rPr>
      </w:pPr>
      <w:r w:rsidRPr="00F205DF">
        <w:rPr>
          <w:rFonts w:eastAsia="Times New Roman" w:cs="Arial"/>
          <w:color w:val="000000"/>
        </w:rPr>
        <w:t>En utilisant les données ci-dessous, calculer la masse et le volume d’une ma</w:t>
      </w:r>
      <w:r w:rsidRPr="00F205DF">
        <w:rPr>
          <w:rFonts w:eastAsia="Times New Roman" w:cs="Arial"/>
          <w:color w:val="000000"/>
        </w:rPr>
        <w:t>ille.</w:t>
      </w:r>
    </w:p>
    <w:p w:rsidR="00F205DF" w:rsidRPr="00F205DF" w:rsidRDefault="00580654" w:rsidP="001F3958">
      <w:pPr>
        <w:spacing w:after="360"/>
        <w:jc w:val="both"/>
        <w:rPr>
          <w:rFonts w:eastAsia="Times New Roman" w:cs="Arial"/>
        </w:rPr>
      </w:pPr>
      <w:r w:rsidRPr="00F205DF">
        <w:rPr>
          <w:rFonts w:eastAsia="Times New Roman" w:cs="Arial"/>
          <w:color w:val="000000"/>
        </w:rPr>
        <w:t>En déduire la masse volumique du sulfure de plomb.</w:t>
      </w:r>
    </w:p>
    <w:p w:rsidR="00F205DF" w:rsidRPr="00F205DF" w:rsidRDefault="00580654" w:rsidP="004539DB">
      <w:pPr>
        <w:spacing w:after="120"/>
        <w:ind w:left="284"/>
        <w:jc w:val="both"/>
        <w:rPr>
          <w:rFonts w:eastAsia="Times New Roman" w:cs="Arial"/>
        </w:rPr>
      </w:pPr>
      <w:r w:rsidRPr="00F205DF">
        <w:rPr>
          <w:rFonts w:eastAsia="Times New Roman" w:cs="Arial"/>
          <w:u w:val="single"/>
        </w:rPr>
        <w:t>Données</w:t>
      </w:r>
      <w:r w:rsidRPr="00F205DF">
        <w:rPr>
          <w:rFonts w:eastAsia="Times New Roman" w:cs="Arial"/>
        </w:rPr>
        <w:t> :</w:t>
      </w:r>
      <w:r w:rsidRPr="00F205DF">
        <w:rPr>
          <w:rFonts w:eastAsia="Times New Roman" w:cs="Arial"/>
          <w:u w:val="single"/>
        </w:rPr>
        <w:t xml:space="preserve"> </w:t>
      </w:r>
    </w:p>
    <w:p w:rsidR="00F205DF" w:rsidRPr="00F205DF" w:rsidRDefault="00580654" w:rsidP="004539DB">
      <w:pPr>
        <w:spacing w:after="120"/>
        <w:ind w:left="284"/>
        <w:jc w:val="both"/>
        <w:rPr>
          <w:rFonts w:eastAsia="Times New Roman" w:cs="Arial"/>
          <w:color w:val="000000"/>
        </w:rPr>
      </w:pPr>
      <w:r w:rsidRPr="00F205DF">
        <w:rPr>
          <w:rFonts w:eastAsia="Times New Roman" w:cs="Arial"/>
          <w:color w:val="000000" w:themeColor="text1"/>
        </w:rPr>
        <w:t>Masse d’un ion plomb Pb</w:t>
      </w:r>
      <w:r w:rsidRPr="00F205DF">
        <w:rPr>
          <w:rFonts w:eastAsia="Times New Roman" w:cs="Arial"/>
          <w:color w:val="000000" w:themeColor="text1"/>
          <w:vertAlign w:val="superscript"/>
        </w:rPr>
        <w:t>2+</w:t>
      </w:r>
      <w:r w:rsidRPr="00F205DF">
        <w:rPr>
          <w:rFonts w:eastAsia="Times New Roman" w:cs="Arial"/>
          <w:color w:val="000000" w:themeColor="text1"/>
        </w:rPr>
        <w:t>: m</w:t>
      </w:r>
      <w:r w:rsidRPr="00F205DF">
        <w:rPr>
          <w:rFonts w:eastAsia="Times New Roman" w:cs="Arial"/>
          <w:color w:val="000000" w:themeColor="text1"/>
          <w:vertAlign w:val="subscript"/>
        </w:rPr>
        <w:t>Pb</w:t>
      </w:r>
      <w:r w:rsidRPr="00F205DF">
        <w:rPr>
          <w:rFonts w:eastAsia="Times New Roman" w:cs="Arial"/>
          <w:color w:val="000000" w:themeColor="text1"/>
          <w:vertAlign w:val="superscript"/>
        </w:rPr>
        <w:t>2+</w:t>
      </w:r>
      <w:r w:rsidRPr="00F205DF">
        <w:rPr>
          <w:rFonts w:eastAsia="Times New Roman" w:cs="Arial"/>
          <w:color w:val="000000" w:themeColor="text1"/>
        </w:rPr>
        <w:t xml:space="preserve"> = 3,44 × 10</w:t>
      </w:r>
      <w:r w:rsidRPr="00F205DF">
        <w:rPr>
          <w:rFonts w:eastAsia="Times New Roman" w:cs="Arial"/>
          <w:color w:val="000000" w:themeColor="text1"/>
          <w:vertAlign w:val="superscript"/>
        </w:rPr>
        <w:t>-22</w:t>
      </w:r>
      <w:r w:rsidRPr="00F205DF">
        <w:rPr>
          <w:rFonts w:eastAsia="Times New Roman" w:cs="Arial"/>
          <w:color w:val="000000" w:themeColor="text1"/>
        </w:rPr>
        <w:t xml:space="preserve"> g. </w:t>
      </w:r>
    </w:p>
    <w:p w:rsidR="00F205DF" w:rsidRPr="00F205DF" w:rsidRDefault="00580654" w:rsidP="004539DB">
      <w:pPr>
        <w:spacing w:after="120"/>
        <w:ind w:left="284"/>
        <w:jc w:val="both"/>
        <w:rPr>
          <w:rFonts w:eastAsia="Times New Roman" w:cs="Arial"/>
          <w:color w:val="000000"/>
        </w:rPr>
      </w:pPr>
      <w:r w:rsidRPr="00F205DF">
        <w:rPr>
          <w:rFonts w:eastAsia="Times New Roman" w:cs="Arial"/>
          <w:color w:val="000000" w:themeColor="text1"/>
        </w:rPr>
        <w:t>Masse d’un ion sulfure S</w:t>
      </w:r>
      <w:r w:rsidRPr="00F205DF">
        <w:rPr>
          <w:rFonts w:eastAsia="Times New Roman" w:cs="Arial"/>
          <w:color w:val="000000" w:themeColor="text1"/>
          <w:vertAlign w:val="superscript"/>
        </w:rPr>
        <w:t>2-</w:t>
      </w:r>
      <w:r w:rsidRPr="00F205DF">
        <w:rPr>
          <w:rFonts w:eastAsia="Times New Roman" w:cs="Arial"/>
          <w:color w:val="000000" w:themeColor="text1"/>
        </w:rPr>
        <w:t> : m</w:t>
      </w:r>
      <w:r w:rsidRPr="00F205DF">
        <w:rPr>
          <w:rFonts w:eastAsia="Times New Roman" w:cs="Arial"/>
          <w:color w:val="000000" w:themeColor="text1"/>
          <w:vertAlign w:val="subscript"/>
        </w:rPr>
        <w:t>S</w:t>
      </w:r>
      <w:r w:rsidRPr="00F205DF">
        <w:rPr>
          <w:rFonts w:eastAsia="Times New Roman" w:cs="Arial"/>
          <w:color w:val="000000" w:themeColor="text1"/>
          <w:vertAlign w:val="superscript"/>
        </w:rPr>
        <w:t>2-</w:t>
      </w:r>
      <w:r>
        <w:rPr>
          <w:rFonts w:eastAsia="Times New Roman" w:cs="Arial"/>
          <w:color w:val="000000" w:themeColor="text1"/>
        </w:rPr>
        <w:t xml:space="preserve"> = </w:t>
      </w:r>
      <w:r w:rsidRPr="00F205DF">
        <w:rPr>
          <w:rFonts w:eastAsia="Times New Roman" w:cs="Arial"/>
          <w:color w:val="000000" w:themeColor="text1"/>
        </w:rPr>
        <w:t>5,33 × 10</w:t>
      </w:r>
      <w:r w:rsidRPr="00F205DF">
        <w:rPr>
          <w:rFonts w:eastAsia="Times New Roman" w:cs="Arial"/>
          <w:color w:val="000000" w:themeColor="text1"/>
          <w:vertAlign w:val="superscript"/>
        </w:rPr>
        <w:t>-23</w:t>
      </w:r>
      <w:r w:rsidRPr="00F205DF">
        <w:rPr>
          <w:rFonts w:eastAsia="Times New Roman" w:cs="Arial"/>
          <w:color w:val="000000" w:themeColor="text1"/>
        </w:rPr>
        <w:t xml:space="preserve"> g.</w:t>
      </w:r>
    </w:p>
    <w:p w:rsidR="00F205DF" w:rsidRPr="00F205DF" w:rsidRDefault="00580654" w:rsidP="001F3958">
      <w:pPr>
        <w:spacing w:after="240"/>
        <w:ind w:left="284"/>
        <w:jc w:val="both"/>
        <w:rPr>
          <w:rFonts w:eastAsia="Times New Roman" w:cs="Arial"/>
          <w:color w:val="000000"/>
        </w:rPr>
      </w:pPr>
      <w:r w:rsidRPr="00F205DF">
        <w:rPr>
          <w:rFonts w:eastAsia="Times New Roman" w:cs="Arial"/>
          <w:color w:val="000000" w:themeColor="text1"/>
        </w:rPr>
        <w:t>Longueur d’une arête de la maille : a =5,94 × 10</w:t>
      </w:r>
      <w:r w:rsidRPr="00F205DF">
        <w:rPr>
          <w:rFonts w:eastAsia="Times New Roman" w:cs="Arial"/>
          <w:color w:val="000000" w:themeColor="text1"/>
          <w:vertAlign w:val="superscript"/>
        </w:rPr>
        <w:t>-8</w:t>
      </w:r>
      <w:r w:rsidRPr="00F205DF">
        <w:rPr>
          <w:rFonts w:eastAsia="Times New Roman" w:cs="Arial"/>
          <w:color w:val="000000" w:themeColor="text1"/>
        </w:rPr>
        <w:t> cm.</w:t>
      </w:r>
    </w:p>
    <w:p w:rsidR="001F3958" w:rsidRDefault="00580654">
      <w:pPr>
        <w:spacing w:after="0" w:line="240" w:lineRule="auto"/>
        <w:rPr>
          <w:rFonts w:eastAsia="Times New Roman" w:cs="Arial"/>
          <w:b/>
          <w:color w:val="000000"/>
          <w:shd w:val="clear" w:color="auto" w:fill="FFFFFF"/>
        </w:rPr>
      </w:pPr>
      <w:r>
        <w:rPr>
          <w:rFonts w:eastAsia="Times New Roman" w:cs="Arial"/>
          <w:b/>
          <w:color w:val="000000"/>
          <w:shd w:val="clear" w:color="auto" w:fill="FFFFFF"/>
        </w:rPr>
        <w:br w:type="page"/>
      </w:r>
    </w:p>
    <w:p w:rsidR="00F205DF" w:rsidRPr="00F205DF" w:rsidRDefault="00580654" w:rsidP="007F486D">
      <w:pPr>
        <w:spacing w:after="120"/>
        <w:jc w:val="both"/>
        <w:rPr>
          <w:rFonts w:eastAsia="Times New Roman" w:cs="Arial"/>
        </w:rPr>
      </w:pPr>
      <w:r w:rsidRPr="00F205DF">
        <w:rPr>
          <w:rFonts w:eastAsia="Times New Roman" w:cs="Arial"/>
          <w:b/>
          <w:color w:val="000000"/>
          <w:shd w:val="clear" w:color="auto" w:fill="FFFFFF"/>
        </w:rPr>
        <w:lastRenderedPageBreak/>
        <w:t xml:space="preserve">4- </w:t>
      </w:r>
      <w:r w:rsidRPr="00F205DF">
        <w:rPr>
          <w:rFonts w:eastAsia="Times New Roman" w:cs="Arial"/>
          <w:color w:val="000000"/>
        </w:rPr>
        <w:t xml:space="preserve">Outre ses utilisations </w:t>
      </w:r>
      <w:r w:rsidRPr="00F205DF">
        <w:rPr>
          <w:rFonts w:eastAsia="Times New Roman" w:cs="Arial"/>
          <w:color w:val="000000"/>
        </w:rPr>
        <w:t>industrielles, la galène peut servir d’objet de décoration. Elle est alors vendue sous forme de géode (cavité rocheuse tapissée de cristaux).</w:t>
      </w:r>
    </w:p>
    <w:p w:rsidR="00F205DF" w:rsidRPr="00F205DF" w:rsidRDefault="00580654" w:rsidP="007F486D">
      <w:pPr>
        <w:spacing w:after="120"/>
        <w:jc w:val="both"/>
        <w:rPr>
          <w:rFonts w:eastAsia="Times New Roman" w:cs="Arial"/>
        </w:rPr>
      </w:pPr>
      <w:r w:rsidRPr="00F205DF">
        <w:rPr>
          <w:rFonts w:eastAsia="Times New Roman" w:cs="Arial"/>
        </w:rPr>
        <w:t>Un vendeur de géodes de galène veut estimer la qualité de son stock de géodes. Pour cela, il effectue le prélèveme</w:t>
      </w:r>
      <w:r w:rsidRPr="00F205DF">
        <w:rPr>
          <w:rFonts w:eastAsia="Times New Roman" w:cs="Arial"/>
        </w:rPr>
        <w:t>nt d’un lot de cinquante géodes dans son stock et détermine la masse volumique de chacune d’elle. Pa</w:t>
      </w:r>
      <w:r w:rsidRPr="00F205DF">
        <w:rPr>
          <w:rFonts w:eastAsia="Times New Roman" w:cs="Arial"/>
          <w:shd w:val="clear" w:color="auto" w:fill="FFFFFF"/>
        </w:rPr>
        <w:t>r souci de simplification, il se limite à étudier ce seul critère.</w:t>
      </w:r>
    </w:p>
    <w:p w:rsidR="00F205DF" w:rsidRPr="00F205DF" w:rsidRDefault="00580654" w:rsidP="00BE6259">
      <w:pPr>
        <w:spacing w:after="120"/>
        <w:rPr>
          <w:rFonts w:eastAsia="Times New Roman" w:cs="Arial"/>
        </w:rPr>
      </w:pPr>
      <w:r w:rsidRPr="00F205DF">
        <w:rPr>
          <w:rFonts w:eastAsia="Times New Roman" w:cs="Arial"/>
          <w:color w:val="000000"/>
        </w:rPr>
        <w:t xml:space="preserve">Il obtient les résultats suivants : </w:t>
      </w:r>
    </w:p>
    <w:tbl>
      <w:tblPr>
        <w:tblStyle w:val="Grilledutableau"/>
        <w:tblW w:w="0" w:type="auto"/>
        <w:tblLook w:val="04A0" w:firstRow="1" w:lastRow="0" w:firstColumn="1" w:lastColumn="0" w:noHBand="0" w:noVBand="1"/>
      </w:tblPr>
      <w:tblGrid>
        <w:gridCol w:w="2432"/>
        <w:gridCol w:w="1394"/>
        <w:gridCol w:w="873"/>
        <w:gridCol w:w="871"/>
        <w:gridCol w:w="873"/>
        <w:gridCol w:w="871"/>
        <w:gridCol w:w="873"/>
        <w:gridCol w:w="873"/>
      </w:tblGrid>
      <w:tr w:rsidR="00F205DF" w:rsidRPr="00F205DF" w:rsidTr="0098564C">
        <w:trPr>
          <w:trHeight w:val="333"/>
        </w:trPr>
        <w:tc>
          <w:tcPr>
            <w:tcW w:w="2525" w:type="dxa"/>
            <w:vAlign w:val="center"/>
          </w:tcPr>
          <w:p w:rsidR="00F205DF" w:rsidRPr="0035024B" w:rsidRDefault="00580654" w:rsidP="0098564C">
            <w:pPr>
              <w:spacing w:before="40" w:after="40"/>
              <w:jc w:val="center"/>
              <w:rPr>
                <w:rFonts w:eastAsia="Times New Roman" w:cs="Arial"/>
                <w:color w:val="000000"/>
              </w:rPr>
            </w:pPr>
            <w:r w:rsidRPr="00F205DF">
              <w:rPr>
                <w:rFonts w:eastAsia="Times New Roman" w:cs="Arial"/>
                <w:color w:val="000000"/>
              </w:rPr>
              <w:t>Masse volumique</w:t>
            </w:r>
            <w:r>
              <w:rPr>
                <w:rFonts w:eastAsia="Times New Roman" w:cs="Arial"/>
                <w:color w:val="000000"/>
              </w:rPr>
              <w:br/>
            </w:r>
            <w:r w:rsidRPr="00F205DF">
              <w:rPr>
                <w:rFonts w:eastAsia="Times New Roman" w:cs="Arial"/>
                <w:color w:val="000000"/>
              </w:rPr>
              <w:t>(en g.cm</w:t>
            </w:r>
            <w:r w:rsidRPr="00F205DF">
              <w:rPr>
                <w:rFonts w:eastAsia="Times New Roman" w:cs="Arial"/>
                <w:color w:val="000000"/>
                <w:vertAlign w:val="superscript"/>
              </w:rPr>
              <w:t>-3</w:t>
            </w:r>
            <w:r w:rsidRPr="00F205DF">
              <w:rPr>
                <w:rFonts w:eastAsia="Times New Roman" w:cs="Arial"/>
                <w:color w:val="000000"/>
              </w:rPr>
              <w:t>)</w:t>
            </w:r>
          </w:p>
        </w:tc>
        <w:tc>
          <w:tcPr>
            <w:tcW w:w="1453" w:type="dxa"/>
            <w:vAlign w:val="center"/>
          </w:tcPr>
          <w:p w:rsidR="00F205DF" w:rsidRPr="00F205DF" w:rsidRDefault="00580654" w:rsidP="0098564C">
            <w:pPr>
              <w:spacing w:before="40" w:after="40"/>
              <w:jc w:val="center"/>
              <w:rPr>
                <w:rFonts w:eastAsia="Times New Roman" w:cs="Arial"/>
                <w:color w:val="000000"/>
              </w:rPr>
            </w:pPr>
            <w:r w:rsidRPr="00F205DF">
              <w:rPr>
                <w:rFonts w:eastAsia="Times New Roman" w:cs="Arial"/>
                <w:color w:val="000000" w:themeColor="text1"/>
              </w:rPr>
              <w:t>7,30</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7,35</w:t>
            </w:r>
          </w:p>
        </w:tc>
        <w:tc>
          <w:tcPr>
            <w:tcW w:w="886"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w:t>
            </w:r>
            <w:r w:rsidRPr="00F205DF">
              <w:rPr>
                <w:rFonts w:eastAsia="Times New Roman" w:cs="Arial"/>
                <w:color w:val="000000" w:themeColor="text1"/>
              </w:rPr>
              <w:t>,40</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7,45</w:t>
            </w:r>
          </w:p>
        </w:tc>
        <w:tc>
          <w:tcPr>
            <w:tcW w:w="886"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7,5</w:t>
            </w:r>
            <w:r w:rsidRPr="00F205DF">
              <w:rPr>
                <w:rFonts w:eastAsia="Times New Roman" w:cs="Arial"/>
                <w:color w:val="000000" w:themeColor="text1"/>
              </w:rPr>
              <w:t>0</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7,55</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7,6</w:t>
            </w:r>
            <w:r w:rsidRPr="00F205DF">
              <w:rPr>
                <w:rFonts w:eastAsia="Times New Roman" w:cs="Arial"/>
                <w:color w:val="000000" w:themeColor="text1"/>
              </w:rPr>
              <w:t>0</w:t>
            </w:r>
          </w:p>
        </w:tc>
      </w:tr>
      <w:tr w:rsidR="00F205DF" w:rsidRPr="00F205DF" w:rsidTr="0098564C">
        <w:trPr>
          <w:trHeight w:val="488"/>
        </w:trPr>
        <w:tc>
          <w:tcPr>
            <w:tcW w:w="2525"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Effectif</w:t>
            </w:r>
          </w:p>
        </w:tc>
        <w:tc>
          <w:tcPr>
            <w:tcW w:w="1453"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1</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1</w:t>
            </w:r>
          </w:p>
        </w:tc>
        <w:tc>
          <w:tcPr>
            <w:tcW w:w="886"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9</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10</w:t>
            </w:r>
          </w:p>
        </w:tc>
        <w:tc>
          <w:tcPr>
            <w:tcW w:w="886"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11</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13</w:t>
            </w:r>
          </w:p>
        </w:tc>
        <w:tc>
          <w:tcPr>
            <w:tcW w:w="888" w:type="dxa"/>
            <w:vAlign w:val="center"/>
          </w:tcPr>
          <w:p w:rsidR="00F205DF" w:rsidRPr="00F205DF" w:rsidRDefault="00580654" w:rsidP="0098564C">
            <w:pPr>
              <w:spacing w:before="40" w:after="40"/>
              <w:jc w:val="center"/>
              <w:rPr>
                <w:rFonts w:eastAsia="Times New Roman" w:cs="Arial"/>
              </w:rPr>
            </w:pPr>
            <w:r w:rsidRPr="00F205DF">
              <w:rPr>
                <w:rFonts w:eastAsia="Times New Roman" w:cs="Arial"/>
                <w:color w:val="000000"/>
              </w:rPr>
              <w:t>5</w:t>
            </w:r>
          </w:p>
        </w:tc>
      </w:tr>
    </w:tbl>
    <w:p w:rsidR="00F205DF" w:rsidRPr="00F205DF" w:rsidRDefault="00580654" w:rsidP="00024471">
      <w:pPr>
        <w:spacing w:before="120" w:after="120"/>
        <w:jc w:val="both"/>
        <w:rPr>
          <w:rFonts w:eastAsia="Times New Roman" w:cs="Arial"/>
          <w:color w:val="000000"/>
        </w:rPr>
      </w:pPr>
      <w:r w:rsidRPr="00F205DF">
        <w:rPr>
          <w:rFonts w:eastAsia="Times New Roman" w:cs="Arial"/>
          <w:color w:val="000000"/>
        </w:rPr>
        <w:t>Pour être conforme, un lot de géodes doit contenir au moins 95% de géodes dont la masse volumique est comprise entre 7,</w:t>
      </w:r>
      <w:r w:rsidRPr="00F205DF">
        <w:rPr>
          <w:rFonts w:eastAsia="Times New Roman" w:cs="Arial"/>
          <w:color w:val="000000" w:themeColor="text1"/>
        </w:rPr>
        <w:t>40</w:t>
      </w:r>
      <w:r w:rsidRPr="00F205DF">
        <w:rPr>
          <w:rFonts w:eastAsia="Times New Roman" w:cs="Arial"/>
          <w:color w:val="000000"/>
        </w:rPr>
        <w:t xml:space="preserve"> g.cm</w:t>
      </w:r>
      <w:r w:rsidRPr="00F205DF">
        <w:rPr>
          <w:rFonts w:eastAsia="Times New Roman" w:cs="Arial"/>
          <w:color w:val="000000"/>
          <w:vertAlign w:val="superscript"/>
        </w:rPr>
        <w:t>-3</w:t>
      </w:r>
      <w:r w:rsidRPr="00F205DF">
        <w:rPr>
          <w:rFonts w:eastAsia="Times New Roman" w:cs="Arial"/>
          <w:color w:val="000000"/>
        </w:rPr>
        <w:t xml:space="preserve"> et 7,6</w:t>
      </w:r>
      <w:r w:rsidRPr="00F205DF">
        <w:rPr>
          <w:rFonts w:eastAsia="Times New Roman" w:cs="Arial"/>
          <w:color w:val="000000" w:themeColor="text1"/>
        </w:rPr>
        <w:t>0</w:t>
      </w:r>
      <w:r w:rsidRPr="00F205DF">
        <w:rPr>
          <w:rFonts w:eastAsia="Times New Roman" w:cs="Arial"/>
          <w:color w:val="000000"/>
        </w:rPr>
        <w:t xml:space="preserve"> g.cm</w:t>
      </w:r>
      <w:r w:rsidRPr="00F205DF">
        <w:rPr>
          <w:rFonts w:eastAsia="Times New Roman" w:cs="Arial"/>
          <w:color w:val="000000"/>
          <w:vertAlign w:val="superscript"/>
        </w:rPr>
        <w:t>-3</w:t>
      </w:r>
      <w:r w:rsidRPr="00F205DF">
        <w:rPr>
          <w:rFonts w:eastAsia="Times New Roman" w:cs="Arial"/>
          <w:color w:val="000000"/>
        </w:rPr>
        <w:t xml:space="preserve">. </w:t>
      </w:r>
    </w:p>
    <w:p w:rsidR="00F205DF" w:rsidRPr="00F205DF" w:rsidRDefault="00580654" w:rsidP="00F205DF">
      <w:pPr>
        <w:spacing w:after="0"/>
        <w:rPr>
          <w:rFonts w:eastAsia="Times New Roman" w:cs="Arial"/>
        </w:rPr>
      </w:pPr>
      <w:r w:rsidRPr="00F205DF">
        <w:rPr>
          <w:rFonts w:eastAsia="Times New Roman" w:cs="Arial"/>
          <w:color w:val="000000"/>
        </w:rPr>
        <w:t>Le lot précédent est-il conforme ? Justifier la réponse.</w:t>
      </w:r>
    </w:p>
    <w:p w:rsidR="00F205DF" w:rsidRPr="00F205DF" w:rsidRDefault="00580654" w:rsidP="00F205DF">
      <w:pPr>
        <w:spacing w:after="0"/>
        <w:rPr>
          <w:rFonts w:eastAsia="Times New Roman" w:cs="Arial"/>
          <w:color w:val="000000"/>
          <w:shd w:val="clear" w:color="auto" w:fill="FFFFFF"/>
        </w:rPr>
      </w:pPr>
    </w:p>
    <w:p w:rsidR="00F205DF" w:rsidRPr="00F205DF" w:rsidRDefault="00580654" w:rsidP="00F205DF">
      <w:pPr>
        <w:spacing w:after="0" w:line="240" w:lineRule="auto"/>
        <w:rPr>
          <w:rFonts w:cs="Arial"/>
          <w:u w:val="single"/>
        </w:rPr>
      </w:pPr>
    </w:p>
    <w:p w:rsidR="00F205DF" w:rsidRPr="00F205DF" w:rsidRDefault="00580654" w:rsidP="00F205DF">
      <w:pPr>
        <w:spacing w:after="0"/>
        <w:rPr>
          <w:rFonts w:eastAsia="Times New Roman" w:cs="Arial"/>
          <w:u w:val="single"/>
        </w:rPr>
      </w:pPr>
      <w:r w:rsidRPr="00F205DF">
        <w:rPr>
          <w:rFonts w:cs="Arial"/>
          <w:u w:val="single"/>
        </w:rPr>
        <w:t xml:space="preserve">Partie 2 : </w:t>
      </w:r>
      <w:r w:rsidRPr="00F205DF">
        <w:rPr>
          <w:rFonts w:cs="Arial"/>
          <w:u w:val="single"/>
        </w:rPr>
        <w:t>détermination de l’âge de la Terre</w:t>
      </w:r>
    </w:p>
    <w:p w:rsidR="00F205DF" w:rsidRPr="00F205DF" w:rsidRDefault="00580654" w:rsidP="00F205DF">
      <w:pPr>
        <w:spacing w:after="0"/>
        <w:rPr>
          <w:rFonts w:cs="Arial"/>
        </w:rPr>
      </w:pPr>
    </w:p>
    <w:p w:rsidR="00F205DF" w:rsidRPr="00F205DF" w:rsidRDefault="00580654" w:rsidP="00024471">
      <w:pPr>
        <w:pBdr>
          <w:bottom w:val="none" w:sz="4" w:space="2" w:color="000000"/>
        </w:pBdr>
        <w:spacing w:after="0"/>
        <w:jc w:val="both"/>
        <w:rPr>
          <w:rFonts w:cs="Arial"/>
        </w:rPr>
      </w:pPr>
      <w:r w:rsidRPr="7F4A0258">
        <w:rPr>
          <w:rFonts w:cs="Arial"/>
          <w:color w:val="000000" w:themeColor="text1"/>
        </w:rPr>
        <w:t>Dès le XVI</w:t>
      </w:r>
      <w:r w:rsidRPr="7F4A0258">
        <w:rPr>
          <w:rFonts w:cs="Arial"/>
          <w:color w:val="000000" w:themeColor="text1"/>
          <w:vertAlign w:val="superscript"/>
        </w:rPr>
        <w:t>e</w:t>
      </w:r>
      <w:r w:rsidRPr="7F4A0258">
        <w:rPr>
          <w:rFonts w:cs="Arial"/>
          <w:color w:val="000000" w:themeColor="text1"/>
        </w:rPr>
        <w:t xml:space="preserve"> siècle, les scientifiques ont cherché à déterminer l’âge des roches. C’est la découverte de la radioactivité à la fin du XIX</w:t>
      </w:r>
      <w:r w:rsidRPr="7F4A0258">
        <w:rPr>
          <w:rFonts w:cs="Arial"/>
          <w:color w:val="000000" w:themeColor="text1"/>
          <w:vertAlign w:val="superscript"/>
        </w:rPr>
        <w:t xml:space="preserve">e </w:t>
      </w:r>
      <w:r w:rsidRPr="7F4A0258">
        <w:rPr>
          <w:rFonts w:cs="Arial"/>
          <w:color w:val="000000" w:themeColor="text1"/>
        </w:rPr>
        <w:t>siècle qui leur a permis de dater avec une plus grande fiabilité de nombreux échan</w:t>
      </w:r>
      <w:r w:rsidRPr="7F4A0258">
        <w:rPr>
          <w:rFonts w:cs="Arial"/>
          <w:color w:val="000000" w:themeColor="text1"/>
        </w:rPr>
        <w:t>tillons de roches prélevés dans la croûte terrestre.</w:t>
      </w:r>
    </w:p>
    <w:p w:rsidR="00DB3E83" w:rsidRDefault="00580654"/>
    <w:tbl>
      <w:tblPr>
        <w:tblStyle w:val="Grilledutableau"/>
        <w:tblW w:w="9322" w:type="dxa"/>
        <w:tblBorders>
          <w:bottom w:val="none" w:sz="0" w:space="0" w:color="auto"/>
          <w:insideH w:val="none" w:sz="0" w:space="0" w:color="auto"/>
          <w:insideV w:val="none" w:sz="0" w:space="0" w:color="auto"/>
        </w:tblBorders>
        <w:tblLook w:val="04A0" w:firstRow="1" w:lastRow="0" w:firstColumn="1" w:lastColumn="0" w:noHBand="0" w:noVBand="1"/>
      </w:tblPr>
      <w:tblGrid>
        <w:gridCol w:w="9322"/>
      </w:tblGrid>
      <w:tr w:rsidR="00F205DF" w:rsidRPr="00F205DF" w:rsidTr="00DB3E83">
        <w:tc>
          <w:tcPr>
            <w:tcW w:w="9322" w:type="dxa"/>
          </w:tcPr>
          <w:p w:rsidR="00F205DF" w:rsidRPr="00F205DF" w:rsidRDefault="00580654" w:rsidP="00024471">
            <w:pPr>
              <w:spacing w:before="120" w:after="120" w:line="276" w:lineRule="auto"/>
              <w:rPr>
                <w:rFonts w:eastAsia="Arial" w:cs="Arial"/>
                <w:color w:val="000000"/>
                <w:u w:val="single"/>
              </w:rPr>
            </w:pPr>
            <w:r w:rsidRPr="00F205DF">
              <w:rPr>
                <w:rFonts w:eastAsia="Arial" w:cs="Arial"/>
                <w:color w:val="000000"/>
                <w:u w:val="single"/>
              </w:rPr>
              <w:t>Document 2 : principe de la datation uranium-plomb</w:t>
            </w:r>
          </w:p>
          <w:p w:rsidR="00F205DF" w:rsidRPr="00F205DF" w:rsidRDefault="00580654" w:rsidP="00024471">
            <w:pPr>
              <w:spacing w:after="120" w:line="276" w:lineRule="auto"/>
              <w:jc w:val="both"/>
              <w:rPr>
                <w:rFonts w:cs="Arial"/>
                <w:color w:val="000000"/>
              </w:rPr>
            </w:pPr>
            <w:r w:rsidRPr="00F205DF">
              <w:rPr>
                <w:rFonts w:eastAsia="Arial" w:cs="Arial"/>
                <w:color w:val="000000" w:themeColor="text1"/>
              </w:rPr>
              <w:t xml:space="preserve">On fait l’hypothèse suivante : on </w:t>
            </w:r>
            <w:r w:rsidRPr="00F205DF">
              <w:rPr>
                <w:rFonts w:cs="Arial"/>
                <w:color w:val="000000" w:themeColor="text1"/>
              </w:rPr>
              <w:t xml:space="preserve">considère qu’il n’y a pas de plomb 206 dans la roche au moment de sa formation, mais qu’elle contient des noyaux </w:t>
            </w:r>
            <w:r w:rsidRPr="00F205DF">
              <w:rPr>
                <w:rFonts w:cs="Arial"/>
                <w:color w:val="000000" w:themeColor="text1"/>
              </w:rPr>
              <w:t>d’uranium 238 radioactifs.</w:t>
            </w:r>
          </w:p>
          <w:p w:rsidR="00F205DF" w:rsidRPr="00F205DF" w:rsidRDefault="00580654" w:rsidP="00024471">
            <w:pPr>
              <w:spacing w:after="120" w:line="276" w:lineRule="auto"/>
              <w:jc w:val="both"/>
              <w:rPr>
                <w:rFonts w:cs="Arial"/>
                <w:color w:val="000000"/>
              </w:rPr>
            </w:pPr>
            <w:r w:rsidRPr="00F205DF">
              <w:rPr>
                <w:rFonts w:cs="Arial"/>
                <w:color w:val="000000" w:themeColor="text1"/>
              </w:rPr>
              <w:t>On sait qu’un noyau d’uranium 238 radioactif se transforme en un noyau plomb 206 stable à la suite d’</w:t>
            </w:r>
            <w:r w:rsidRPr="00F205DF">
              <w:rPr>
                <w:rFonts w:eastAsia="Arial" w:cs="Arial"/>
                <w:color w:val="000000" w:themeColor="text1"/>
              </w:rPr>
              <w:t xml:space="preserve">une série de désintégrations successives. </w:t>
            </w:r>
          </w:p>
          <w:p w:rsidR="00F205DF" w:rsidRPr="00F205DF" w:rsidRDefault="00580654" w:rsidP="00024471">
            <w:pPr>
              <w:tabs>
                <w:tab w:val="left" w:pos="708"/>
                <w:tab w:val="left" w:pos="1416"/>
                <w:tab w:val="left" w:pos="2124"/>
                <w:tab w:val="left" w:pos="2832"/>
                <w:tab w:val="left" w:pos="3540"/>
                <w:tab w:val="left" w:pos="4248"/>
                <w:tab w:val="left" w:pos="4956"/>
                <w:tab w:val="left" w:pos="5664"/>
                <w:tab w:val="left" w:pos="6372"/>
                <w:tab w:val="left" w:pos="7890"/>
              </w:tabs>
              <w:spacing w:after="120" w:line="276" w:lineRule="auto"/>
              <w:jc w:val="both"/>
              <w:rPr>
                <w:rFonts w:cs="Arial"/>
                <w:color w:val="000000"/>
                <w:position w:val="-3"/>
              </w:rPr>
            </w:pPr>
            <w:r w:rsidRPr="00F205DF">
              <w:rPr>
                <w:rFonts w:eastAsia="Arial" w:cs="Arial"/>
                <w:color w:val="000000" w:themeColor="text1"/>
              </w:rPr>
              <w:t>L'équation globale est :</w:t>
            </w:r>
            <w:r w:rsidRPr="00F205DF">
              <w:rPr>
                <w:rFonts w:eastAsia="Arial" w:cs="Arial"/>
                <w:color w:val="000000" w:themeColor="text1"/>
              </w:rPr>
              <w:tab/>
              <w:t> </w:t>
            </w:r>
            <w:r w:rsidRPr="00F205DF">
              <w:rPr>
                <w:rFonts w:cs="Arial"/>
                <w:iCs/>
                <w:noProof/>
                <w:color w:val="000000" w:themeColor="text1"/>
                <w:position w:val="-3"/>
              </w:rPr>
              <mc:AlternateContent>
                <mc:Choice Requires="wps">
                  <w:drawing>
                    <wp:anchor distT="0" distB="0" distL="114300" distR="114300" simplePos="0" relativeHeight="251659264" behindDoc="0" locked="0" layoutInCell="1" allowOverlap="1" wp14:anchorId="26C56BDA" wp14:editId="7EC7598A">
                      <wp:simplePos x="0" y="0"/>
                      <wp:positionH relativeFrom="column">
                        <wp:posOffset>0</wp:posOffset>
                      </wp:positionH>
                      <wp:positionV relativeFrom="paragraph">
                        <wp:posOffset>0</wp:posOffset>
                      </wp:positionV>
                      <wp:extent cx="635000" cy="635000"/>
                      <wp:effectExtent l="0" t="0" r="0" b="0"/>
                      <wp:wrapNone/>
                      <wp:docPr id="14" name="AutoShape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7B794C">
                    <v:rect id="AutoShape 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5167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">
                      <v:stroke joinstyle="round"/>
                      <v:path arrowok="t"/>
                    </v:rect>
                  </w:pict>
                </mc:Fallback>
              </mc:AlternateContent>
            </w:r>
            <w:r w:rsidRPr="0066111F">
              <w:rPr>
                <w:rFonts w:cs="Arial"/>
                <w:iCs/>
                <w:noProof/>
                <w:color w:val="000000" w:themeColor="text1"/>
                <w:position w:val="-3"/>
              </w:rPr>
              <w:object w:dxaOrig="2776" w:dyaOrig="376" w14:anchorId="40C31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8.75pt;height:18pt;mso-width-percent:0;mso-height-percent:0;mso-wrap-distance-left:0;mso-wrap-distance-top:0;mso-wrap-distance-right:0;mso-wrap-distance-bottom:0;mso-width-percent:0;mso-height-percent:0" o:ole="">
                  <v:imagedata r:id="rId17" o:title=""/>
                  <v:path textboxrect="0,0,0,0"/>
                </v:shape>
                <o:OLEObject Type="Embed" ProgID="Equation.3" ShapeID="_x0000_i1025" DrawAspect="Content" ObjectID="_1741547099" r:id="rId18"/>
              </w:object>
            </w:r>
            <w:r w:rsidRPr="00F205DF">
              <w:rPr>
                <w:rFonts w:cs="Arial"/>
                <w:iCs/>
                <w:color w:val="000000" w:themeColor="text1"/>
              </w:rPr>
              <w:tab/>
            </w:r>
          </w:p>
          <w:p w:rsidR="00F205DF" w:rsidRPr="00F205DF" w:rsidRDefault="00580654" w:rsidP="00426003">
            <w:pPr>
              <w:shd w:val="clear" w:color="auto" w:fill="FFFFFF"/>
              <w:spacing w:after="120" w:line="276" w:lineRule="auto"/>
              <w:jc w:val="both"/>
              <w:rPr>
                <w:rFonts w:eastAsia="Arial" w:cs="Arial"/>
                <w:color w:val="000000"/>
              </w:rPr>
            </w:pPr>
            <w:r w:rsidRPr="00F205DF">
              <w:rPr>
                <w:rFonts w:eastAsia="Arial" w:cs="Arial"/>
                <w:color w:val="000000" w:themeColor="text1"/>
              </w:rPr>
              <w:t xml:space="preserve">En mesurant la quantité de plomb 206 dans un échantillon de roche ancienne, on peut déterminer l'âge de l’échantillon de roche à partir de la courbe de décroissance radioactive du nombre de noyaux d'uranium 238. </w:t>
            </w:r>
          </w:p>
        </w:tc>
      </w:tr>
      <w:tr w:rsidR="00426003" w:rsidRPr="00F205DF" w:rsidTr="00DB3E83">
        <w:tblPrEx>
          <w:tblBorders>
            <w:top w:val="none" w:sz="0" w:space="0" w:color="auto"/>
            <w:bottom w:val="single" w:sz="4" w:space="0" w:color="auto"/>
          </w:tblBorders>
        </w:tblPrEx>
        <w:tc>
          <w:tcPr>
            <w:tcW w:w="9322" w:type="dxa"/>
          </w:tcPr>
          <w:p w:rsidR="00426003" w:rsidRPr="00F205DF" w:rsidRDefault="00580654" w:rsidP="00426003">
            <w:pPr>
              <w:spacing w:before="120" w:after="0" w:line="276" w:lineRule="auto"/>
              <w:rPr>
                <w:rFonts w:eastAsia="Arial" w:cs="Arial"/>
                <w:color w:val="000000"/>
                <w:u w:val="single"/>
              </w:rPr>
            </w:pPr>
            <w:r w:rsidRPr="00F205DF">
              <w:rPr>
                <w:rFonts w:eastAsia="Arial" w:cs="Arial"/>
                <w:noProof/>
                <w:color w:val="000000"/>
              </w:rPr>
              <w:lastRenderedPageBreak/>
              <w:drawing>
                <wp:inline distT="0" distB="0" distL="0" distR="0" wp14:anchorId="6C74E740" wp14:editId="5BD86C32">
                  <wp:extent cx="5618847" cy="2959097"/>
                  <wp:effectExtent l="0" t="0" r="1270" b="0"/>
                  <wp:docPr id="15" name="Image 2" descr="radiaoctivit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adiaoctivité.PNG"/>
                          <pic:cNvPicPr>
                            <a:picLocks noChangeAspect="1"/>
                          </pic:cNvPicPr>
                        </pic:nvPicPr>
                        <pic:blipFill>
                          <a:blip r:embed="rId19"/>
                          <a:stretch/>
                        </pic:blipFill>
                        <pic:spPr bwMode="auto">
                          <a:xfrm>
                            <a:off x="0" y="0"/>
                            <a:ext cx="5622290" cy="2960912"/>
                          </a:xfrm>
                          <a:prstGeom prst="rect">
                            <a:avLst/>
                          </a:prstGeom>
                        </pic:spPr>
                      </pic:pic>
                    </a:graphicData>
                  </a:graphic>
                </wp:inline>
              </w:drawing>
            </w:r>
          </w:p>
        </w:tc>
      </w:tr>
    </w:tbl>
    <w:p w:rsidR="00F205DF" w:rsidRPr="00F205DF" w:rsidRDefault="00580654" w:rsidP="00307D4B">
      <w:pPr>
        <w:spacing w:before="240" w:after="240"/>
        <w:jc w:val="both"/>
        <w:rPr>
          <w:rFonts w:eastAsia="Arial" w:cs="Arial"/>
          <w:color w:val="000000" w:themeColor="text1"/>
        </w:rPr>
      </w:pPr>
      <w:r w:rsidRPr="00F205DF">
        <w:rPr>
          <w:rFonts w:cs="Arial"/>
          <w:color w:val="000000" w:themeColor="text1"/>
        </w:rPr>
        <w:t>Ainsi, si on considère qu’</w:t>
      </w:r>
      <w:r w:rsidRPr="00F205DF">
        <w:rPr>
          <w:rFonts w:eastAsia="Arial" w:cs="Arial"/>
          <w:color w:val="000000" w:themeColor="text1"/>
        </w:rPr>
        <w:t xml:space="preserve">un échantillon de roche contenant à la fois du plomb 206 et de l’uranium 238 a le même âge que la Terre, </w:t>
      </w:r>
      <w:r w:rsidRPr="00F205DF">
        <w:rPr>
          <w:rFonts w:cs="Arial"/>
          <w:color w:val="000000" w:themeColor="text1"/>
        </w:rPr>
        <w:t xml:space="preserve">il est possible d’utiliser la </w:t>
      </w:r>
      <w:r w:rsidRPr="00F205DF">
        <w:rPr>
          <w:rFonts w:eastAsia="Arial" w:cs="Arial"/>
          <w:color w:val="000000" w:themeColor="text1"/>
        </w:rPr>
        <w:t xml:space="preserve">datation uranium-plomb pour donner une estimation de l’âge de la Terre. </w:t>
      </w:r>
    </w:p>
    <w:p w:rsidR="00F205DF" w:rsidRPr="00F205DF" w:rsidRDefault="00580654" w:rsidP="00307D4B">
      <w:pPr>
        <w:spacing w:after="240"/>
        <w:jc w:val="both"/>
        <w:rPr>
          <w:rFonts w:cs="Arial"/>
        </w:rPr>
      </w:pPr>
      <w:r w:rsidRPr="00F205DF">
        <w:rPr>
          <w:rFonts w:eastAsia="Arial" w:cs="Arial"/>
          <w:b/>
          <w:color w:val="000000"/>
        </w:rPr>
        <w:t>5-</w:t>
      </w:r>
      <w:r w:rsidRPr="00F205DF">
        <w:rPr>
          <w:rFonts w:eastAsia="Arial" w:cs="Arial"/>
          <w:color w:val="000000"/>
        </w:rPr>
        <w:t xml:space="preserve"> Donner la composition d’un noyau de plomb 206</w:t>
      </w:r>
      <w:r w:rsidRPr="00F205DF">
        <w:rPr>
          <w:rFonts w:eastAsia="Arial" w:cs="Arial"/>
          <w:color w:val="000000"/>
        </w:rPr>
        <w:t>.</w:t>
      </w:r>
    </w:p>
    <w:p w:rsidR="00F205DF" w:rsidRPr="00F205DF" w:rsidRDefault="00580654" w:rsidP="00307D4B">
      <w:pPr>
        <w:shd w:val="clear" w:color="auto" w:fill="FFFFFF"/>
        <w:spacing w:after="240"/>
        <w:jc w:val="both"/>
        <w:rPr>
          <w:rFonts w:cs="Arial"/>
        </w:rPr>
      </w:pPr>
      <w:r w:rsidRPr="00F205DF">
        <w:rPr>
          <w:rFonts w:eastAsia="Arial" w:cs="Arial"/>
          <w:b/>
          <w:color w:val="000000"/>
        </w:rPr>
        <w:t xml:space="preserve">6- </w:t>
      </w:r>
      <w:r w:rsidRPr="00F205DF">
        <w:rPr>
          <w:rFonts w:eastAsia="Arial" w:cs="Arial"/>
          <w:color w:val="000000"/>
        </w:rPr>
        <w:t>On note N</w:t>
      </w:r>
      <w:r w:rsidRPr="00F205DF">
        <w:rPr>
          <w:rFonts w:eastAsia="Arial" w:cs="Arial"/>
          <w:color w:val="000000"/>
          <w:vertAlign w:val="subscript"/>
        </w:rPr>
        <w:t>U</w:t>
      </w:r>
      <w:r w:rsidRPr="00F205DF">
        <w:rPr>
          <w:rFonts w:eastAsia="Arial" w:cs="Arial"/>
          <w:color w:val="000000"/>
        </w:rPr>
        <w:t>(t) et N</w:t>
      </w:r>
      <w:r w:rsidRPr="00F205DF">
        <w:rPr>
          <w:rFonts w:eastAsia="Arial" w:cs="Arial"/>
          <w:color w:val="000000"/>
          <w:vertAlign w:val="subscript"/>
        </w:rPr>
        <w:t>Pb</w:t>
      </w:r>
      <w:r w:rsidRPr="00F205DF">
        <w:rPr>
          <w:rFonts w:eastAsia="Arial" w:cs="Arial"/>
          <w:color w:val="000000"/>
        </w:rPr>
        <w:t>(t) les nombres de noyaux d’uranium 238 et de plomb 206 présents dans l’échantillon à la date t à laquelle la mesure est réalisée et N</w:t>
      </w:r>
      <w:r w:rsidRPr="00F205DF">
        <w:rPr>
          <w:rFonts w:eastAsia="Arial" w:cs="Arial"/>
          <w:color w:val="000000"/>
          <w:vertAlign w:val="subscript"/>
        </w:rPr>
        <w:t>U</w:t>
      </w:r>
      <w:r w:rsidRPr="00F205DF">
        <w:rPr>
          <w:rFonts w:eastAsia="Arial" w:cs="Arial"/>
          <w:color w:val="000000"/>
        </w:rPr>
        <w:t>(0) le nombre de noyaux d’uranium 238 que contenait la roche au moment de sa formation.</w:t>
      </w:r>
    </w:p>
    <w:p w:rsidR="00F205DF" w:rsidRPr="00F205DF" w:rsidRDefault="00580654" w:rsidP="00307D4B">
      <w:pPr>
        <w:shd w:val="clear" w:color="auto" w:fill="FFFFFF"/>
        <w:spacing w:after="240"/>
        <w:jc w:val="both"/>
        <w:rPr>
          <w:rFonts w:cs="Arial"/>
        </w:rPr>
      </w:pPr>
      <w:r w:rsidRPr="00F205DF">
        <w:rPr>
          <w:rFonts w:eastAsia="Arial" w:cs="Arial"/>
          <w:b/>
          <w:color w:val="000000"/>
        </w:rPr>
        <w:t>6-a</w:t>
      </w:r>
      <w:r>
        <w:rPr>
          <w:rFonts w:eastAsia="Arial" w:cs="Arial"/>
          <w:b/>
          <w:color w:val="000000"/>
        </w:rPr>
        <w:t>-</w:t>
      </w:r>
      <w:r>
        <w:rPr>
          <w:rFonts w:eastAsia="Arial" w:cs="Arial"/>
          <w:color w:val="000000"/>
        </w:rPr>
        <w:t xml:space="preserve"> Jus</w:t>
      </w:r>
      <w:r>
        <w:rPr>
          <w:rFonts w:eastAsia="Arial" w:cs="Arial"/>
          <w:color w:val="000000"/>
        </w:rPr>
        <w:t>tifier la relation</w:t>
      </w:r>
      <w:r w:rsidRPr="00F205DF">
        <w:rPr>
          <w:rFonts w:eastAsia="Arial" w:cs="Arial"/>
          <w:color w:val="000000"/>
        </w:rPr>
        <w:t xml:space="preserve"> N</w:t>
      </w:r>
      <w:r w:rsidRPr="00F205DF">
        <w:rPr>
          <w:rFonts w:eastAsia="Arial" w:cs="Arial"/>
          <w:color w:val="000000"/>
          <w:vertAlign w:val="subscript"/>
        </w:rPr>
        <w:t>U</w:t>
      </w:r>
      <w:r w:rsidRPr="00F205DF">
        <w:rPr>
          <w:rFonts w:eastAsia="Arial" w:cs="Arial"/>
          <w:color w:val="000000"/>
        </w:rPr>
        <w:t>(0) = N</w:t>
      </w:r>
      <w:r w:rsidRPr="00F205DF">
        <w:rPr>
          <w:rFonts w:eastAsia="Arial" w:cs="Arial"/>
          <w:color w:val="000000"/>
          <w:vertAlign w:val="subscript"/>
        </w:rPr>
        <w:t>U</w:t>
      </w:r>
      <w:r w:rsidRPr="00F205DF">
        <w:rPr>
          <w:rFonts w:eastAsia="Arial" w:cs="Arial"/>
          <w:color w:val="000000"/>
        </w:rPr>
        <w:t>(t) + N</w:t>
      </w:r>
      <w:r w:rsidRPr="00F205DF">
        <w:rPr>
          <w:rFonts w:eastAsia="Arial" w:cs="Arial"/>
          <w:color w:val="000000"/>
          <w:vertAlign w:val="subscript"/>
        </w:rPr>
        <w:t>Pb</w:t>
      </w:r>
      <w:r w:rsidRPr="00F205DF">
        <w:rPr>
          <w:rFonts w:eastAsia="Arial" w:cs="Arial"/>
          <w:color w:val="000000"/>
        </w:rPr>
        <w:t>(t)</w:t>
      </w:r>
      <w:r>
        <w:rPr>
          <w:rFonts w:eastAsia="Arial" w:cs="Arial"/>
          <w:color w:val="000000"/>
        </w:rPr>
        <w:t>.</w:t>
      </w:r>
    </w:p>
    <w:p w:rsidR="00F205DF" w:rsidRPr="00F205DF" w:rsidRDefault="00580654" w:rsidP="00307D4B">
      <w:pPr>
        <w:spacing w:after="240"/>
        <w:jc w:val="both"/>
        <w:rPr>
          <w:rFonts w:cs="Arial"/>
        </w:rPr>
      </w:pPr>
      <w:r w:rsidRPr="00F205DF">
        <w:rPr>
          <w:rFonts w:eastAsia="Arial" w:cs="Arial"/>
          <w:b/>
          <w:color w:val="000000"/>
        </w:rPr>
        <w:t>6-b-</w:t>
      </w:r>
      <w:r w:rsidRPr="00F205DF">
        <w:rPr>
          <w:rFonts w:eastAsia="Arial" w:cs="Arial"/>
          <w:color w:val="000000"/>
        </w:rPr>
        <w:t xml:space="preserve"> Déterminer graphiquement N</w:t>
      </w:r>
      <w:r w:rsidRPr="00F205DF">
        <w:rPr>
          <w:rFonts w:eastAsia="Arial" w:cs="Arial"/>
          <w:color w:val="000000"/>
          <w:vertAlign w:val="subscript"/>
        </w:rPr>
        <w:t>U</w:t>
      </w:r>
      <w:r w:rsidRPr="00F205DF">
        <w:rPr>
          <w:rFonts w:eastAsia="Arial" w:cs="Arial"/>
          <w:color w:val="000000"/>
        </w:rPr>
        <w:t>(0)</w:t>
      </w:r>
      <w:r>
        <w:rPr>
          <w:rFonts w:eastAsia="Arial" w:cs="Arial"/>
          <w:color w:val="000000"/>
        </w:rPr>
        <w:t>.</w:t>
      </w:r>
    </w:p>
    <w:p w:rsidR="00F205DF" w:rsidRPr="00F205DF" w:rsidRDefault="00580654" w:rsidP="00547DD9">
      <w:pPr>
        <w:shd w:val="clear" w:color="auto" w:fill="FFFFFF"/>
        <w:spacing w:after="120" w:line="240" w:lineRule="auto"/>
        <w:jc w:val="both"/>
        <w:rPr>
          <w:rFonts w:eastAsia="Arial" w:cs="Arial"/>
          <w:color w:val="000000"/>
        </w:rPr>
      </w:pPr>
      <w:r w:rsidRPr="00F205DF">
        <w:rPr>
          <w:rFonts w:eastAsia="Arial" w:cs="Arial"/>
          <w:b/>
          <w:color w:val="000000"/>
        </w:rPr>
        <w:t>6-c-</w:t>
      </w:r>
      <w:r w:rsidRPr="00F205DF">
        <w:rPr>
          <w:rFonts w:eastAsia="Arial" w:cs="Arial"/>
          <w:color w:val="000000"/>
        </w:rPr>
        <w:t xml:space="preserve"> Le nombre de noyaux de plomb 206 mesuré dans la roche à la date t est égal à N</w:t>
      </w:r>
      <w:r w:rsidRPr="00F205DF">
        <w:rPr>
          <w:rFonts w:eastAsia="Arial" w:cs="Arial"/>
          <w:color w:val="000000"/>
          <w:vertAlign w:val="subscript"/>
        </w:rPr>
        <w:t>Pb</w:t>
      </w:r>
      <w:r w:rsidRPr="00F205DF">
        <w:rPr>
          <w:rFonts w:eastAsia="Arial" w:cs="Arial"/>
          <w:color w:val="000000"/>
        </w:rPr>
        <w:t>(t)</w:t>
      </w:r>
      <w:r>
        <w:rPr>
          <w:rFonts w:eastAsia="Arial" w:cs="Arial"/>
          <w:color w:val="000000"/>
        </w:rPr>
        <w:t> =</w:t>
      </w:r>
      <w:r w:rsidRPr="00F205DF">
        <w:rPr>
          <w:rFonts w:eastAsia="Arial" w:cs="Arial"/>
          <w:color w:val="000000"/>
        </w:rPr>
        <w:t xml:space="preserve"> 2,5.10</w:t>
      </w:r>
      <w:r w:rsidRPr="00F205DF">
        <w:rPr>
          <w:rFonts w:eastAsia="Arial" w:cs="Arial"/>
          <w:color w:val="000000"/>
          <w:vertAlign w:val="superscript"/>
        </w:rPr>
        <w:t>12</w:t>
      </w:r>
      <w:r w:rsidRPr="00F205DF">
        <w:rPr>
          <w:rFonts w:eastAsia="Arial" w:cs="Arial"/>
          <w:color w:val="000000"/>
        </w:rPr>
        <w:t xml:space="preserve"> noyaux.</w:t>
      </w:r>
    </w:p>
    <w:p w:rsidR="00F205DF" w:rsidRPr="00F205DF" w:rsidRDefault="00580654" w:rsidP="00547DD9">
      <w:pPr>
        <w:shd w:val="clear" w:color="auto" w:fill="FFFFFF"/>
        <w:spacing w:after="240" w:line="240" w:lineRule="auto"/>
        <w:jc w:val="both"/>
        <w:rPr>
          <w:rFonts w:cs="Arial"/>
        </w:rPr>
      </w:pPr>
      <w:r w:rsidRPr="00F205DF">
        <w:rPr>
          <w:rFonts w:eastAsia="Arial" w:cs="Arial"/>
        </w:rPr>
        <w:t>Calculer le nombre N</w:t>
      </w:r>
      <w:r w:rsidRPr="00F205DF">
        <w:rPr>
          <w:rFonts w:eastAsia="Arial" w:cs="Arial"/>
          <w:vertAlign w:val="subscript"/>
        </w:rPr>
        <w:t>U</w:t>
      </w:r>
      <w:r>
        <w:rPr>
          <w:rFonts w:eastAsia="Arial" w:cs="Arial"/>
        </w:rPr>
        <w:t>(t) de noyaux d'u</w:t>
      </w:r>
      <w:r w:rsidRPr="00F205DF">
        <w:rPr>
          <w:rFonts w:eastAsia="Arial" w:cs="Arial"/>
        </w:rPr>
        <w:t>ranium</w:t>
      </w:r>
      <w:r w:rsidRPr="00F205DF">
        <w:rPr>
          <w:rFonts w:eastAsia="Arial" w:cs="Arial"/>
          <w:color w:val="00B050"/>
        </w:rPr>
        <w:t xml:space="preserve"> </w:t>
      </w:r>
      <w:r w:rsidRPr="00F205DF">
        <w:rPr>
          <w:rFonts w:eastAsia="Arial" w:cs="Arial"/>
          <w:color w:val="000000" w:themeColor="text1"/>
        </w:rPr>
        <w:t xml:space="preserve">présents </w:t>
      </w:r>
      <w:r w:rsidRPr="00F205DF">
        <w:rPr>
          <w:rFonts w:eastAsia="Arial" w:cs="Arial"/>
        </w:rPr>
        <w:t>à la date t.</w:t>
      </w:r>
    </w:p>
    <w:p w:rsidR="0054593E" w:rsidRPr="00F205DF" w:rsidRDefault="00580654" w:rsidP="00547DD9">
      <w:pPr>
        <w:shd w:val="clear" w:color="auto" w:fill="FFFFFF"/>
        <w:spacing w:after="240"/>
        <w:jc w:val="both"/>
        <w:rPr>
          <w:rFonts w:cs="Arial"/>
        </w:rPr>
      </w:pPr>
      <w:r w:rsidRPr="00F205DF">
        <w:rPr>
          <w:rFonts w:eastAsia="Arial" w:cs="Arial"/>
          <w:b/>
          <w:color w:val="000000"/>
        </w:rPr>
        <w:t>7-</w:t>
      </w:r>
      <w:r w:rsidRPr="00F205DF">
        <w:rPr>
          <w:rFonts w:eastAsia="Arial" w:cs="Arial"/>
          <w:color w:val="000000"/>
        </w:rPr>
        <w:t xml:space="preserve"> En déduire une estimation de l’âge de la Terre. Expliquer la démarche employée.</w:t>
      </w:r>
      <w:r>
        <w:br w:type="page"/>
      </w:r>
    </w:p>
    <w:p w:rsidR="00711423" w:rsidRPr="00A77456" w:rsidRDefault="00580654" w:rsidP="00711423">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711423" w:rsidRPr="00A77456" w:rsidRDefault="00580654" w:rsidP="00711423">
      <w:pPr>
        <w:spacing w:after="240"/>
        <w:jc w:val="center"/>
        <w:rPr>
          <w:rFonts w:eastAsia="Arial" w:cs="Arial"/>
          <w:i/>
        </w:rPr>
      </w:pPr>
      <w:r w:rsidRPr="00A77456">
        <w:rPr>
          <w:rFonts w:eastAsia="Arial" w:cs="Arial"/>
          <w:i/>
        </w:rPr>
        <w:t>Thème « </w:t>
      </w:r>
      <w:r>
        <w:rPr>
          <w:rFonts w:eastAsia="Arial" w:cs="Arial"/>
          <w:i/>
        </w:rPr>
        <w:t>Son et musique, porteurs d’information »</w:t>
      </w:r>
    </w:p>
    <w:p w:rsidR="00711423" w:rsidRPr="00D87AD1" w:rsidRDefault="00580654" w:rsidP="00711423">
      <w:pPr>
        <w:spacing w:after="120"/>
        <w:rPr>
          <w:b/>
          <w:sz w:val="22"/>
        </w:rPr>
      </w:pPr>
      <w:r>
        <w:rPr>
          <w:b/>
          <w:sz w:val="28"/>
        </w:rPr>
        <w:t>Gamme tempérée et gamme de Pythagore</w:t>
      </w:r>
    </w:p>
    <w:p w:rsidR="00EA4F81" w:rsidRDefault="00580654" w:rsidP="00711423">
      <w:pPr>
        <w:spacing w:after="240"/>
      </w:pPr>
      <w:r w:rsidRPr="00D74F67">
        <w:rPr>
          <w:i/>
        </w:rPr>
        <w:t>Sur 10 points</w:t>
      </w:r>
    </w:p>
    <w:p w:rsidR="0064352A" w:rsidRPr="00994652" w:rsidRDefault="00580654" w:rsidP="00711423">
      <w:pPr>
        <w:spacing w:after="240" w:line="276" w:lineRule="auto"/>
        <w:jc w:val="both"/>
      </w:pPr>
      <w:r w:rsidRPr="00994652">
        <w:t>Il y a eu dans l’histoire de nombreuses constructions de gammes pour ordonner les notes à l’intérieur d’une octave.</w:t>
      </w:r>
      <w:r w:rsidRPr="00994652">
        <w:rPr>
          <w:color w:val="FF0000"/>
        </w:rPr>
        <w:t xml:space="preserve"> </w:t>
      </w:r>
      <w:r w:rsidRPr="00994652">
        <w:t>Cet exercice étudie deux types de gammes à douze notes : la gamme tempérée et la gamme de Pythagore</w:t>
      </w:r>
      <w:r>
        <w:t>.</w:t>
      </w:r>
    </w:p>
    <w:p w:rsidR="00EA4F81" w:rsidRPr="00994652" w:rsidRDefault="00580654" w:rsidP="00711423">
      <w:pPr>
        <w:spacing w:after="240" w:line="276" w:lineRule="auto"/>
        <w:jc w:val="both"/>
      </w:pPr>
      <w:r w:rsidRPr="00994652">
        <w:t>L’octave peut être divisée en douze int</w:t>
      </w:r>
      <w:r w:rsidRPr="00994652">
        <w:t>ervalles en formant douze notes de base (Do, Do</w:t>
      </w:r>
      <w:r w:rsidRPr="00994652">
        <w:rPr>
          <w:vertAlign w:val="superscript"/>
        </w:rPr>
        <w:t>#</w:t>
      </w:r>
      <w:r w:rsidRPr="00994652">
        <w:t>, Ré, Mi</w:t>
      </w:r>
      <w:r w:rsidRPr="00994652">
        <w:rPr>
          <w:vertAlign w:val="superscript"/>
        </w:rPr>
        <w:t>b</w:t>
      </w:r>
      <w:r w:rsidRPr="00994652">
        <w:t>, Mi, Fa, Fa</w:t>
      </w:r>
      <w:r w:rsidRPr="00994652">
        <w:rPr>
          <w:vertAlign w:val="superscript"/>
        </w:rPr>
        <w:t>#</w:t>
      </w:r>
      <w:r w:rsidRPr="00994652">
        <w:t>, Sol, Sol</w:t>
      </w:r>
      <w:r w:rsidRPr="00994652">
        <w:rPr>
          <w:vertAlign w:val="superscript"/>
        </w:rPr>
        <w:t>#</w:t>
      </w:r>
      <w:r w:rsidRPr="00994652">
        <w:t>, La, Si</w:t>
      </w:r>
      <w:r w:rsidRPr="00994652">
        <w:rPr>
          <w:vertAlign w:val="superscript"/>
        </w:rPr>
        <w:t>b</w:t>
      </w:r>
      <w:r w:rsidRPr="00994652">
        <w:t>, Si). La gamme fréquemment utilisée de nos jours est la gamme tempérée</w:t>
      </w:r>
      <w:r w:rsidRPr="00994652">
        <w:rPr>
          <w:b/>
          <w:bCs/>
        </w:rPr>
        <w:t xml:space="preserve">, </w:t>
      </w:r>
      <w:r w:rsidRPr="00994652">
        <w:t xml:space="preserve">dans laquelle le rapport de fréquences entre deux notes consécutives est constant.  </w:t>
      </w:r>
    </w:p>
    <w:p w:rsidR="00EA4F81" w:rsidRPr="00994652" w:rsidRDefault="00580654" w:rsidP="00711423">
      <w:pPr>
        <w:widowControl w:val="0"/>
        <w:tabs>
          <w:tab w:val="left" w:pos="709"/>
        </w:tabs>
        <w:autoSpaceDE w:val="0"/>
        <w:autoSpaceDN w:val="0"/>
        <w:adjustRightInd w:val="0"/>
        <w:spacing w:after="240" w:line="276" w:lineRule="auto"/>
        <w:jc w:val="both"/>
      </w:pPr>
      <w:r w:rsidRPr="00994652">
        <w:rPr>
          <w:b/>
          <w:bCs/>
        </w:rPr>
        <w:t>1-</w:t>
      </w:r>
      <w:r w:rsidRPr="00994652">
        <w:t xml:space="preserve"> Préci</w:t>
      </w:r>
      <w:r w:rsidRPr="00994652">
        <w:t xml:space="preserve">ser la valeur du rapport des fréquences de deux notes séparées d’une octave. </w:t>
      </w:r>
    </w:p>
    <w:p w:rsidR="00EA4F81" w:rsidRPr="00994652" w:rsidRDefault="00580654" w:rsidP="00711423">
      <w:pPr>
        <w:widowControl w:val="0"/>
        <w:tabs>
          <w:tab w:val="left" w:pos="709"/>
        </w:tabs>
        <w:autoSpaceDE w:val="0"/>
        <w:autoSpaceDN w:val="0"/>
        <w:adjustRightInd w:val="0"/>
        <w:spacing w:after="240" w:line="276" w:lineRule="auto"/>
        <w:jc w:val="both"/>
        <w:rPr>
          <w:color w:val="1A1A1A"/>
        </w:rPr>
      </w:pPr>
      <w:r w:rsidRPr="00994652">
        <w:rPr>
          <w:b/>
          <w:bCs/>
        </w:rPr>
        <w:t>2-</w:t>
      </w:r>
      <w:r w:rsidRPr="00994652">
        <w:t xml:space="preserve"> Expliquer pourquoi </w:t>
      </w:r>
      <w:r w:rsidRPr="00994652">
        <w:rPr>
          <w:color w:val="1A1A1A"/>
        </w:rPr>
        <w:t>la valeur exacte du rapport des fréquences entre deux notes consécutives de la gamme tempérée est</w:t>
      </w:r>
      <w:r>
        <w:rPr>
          <w:color w:val="1A1A1A"/>
        </w:rPr>
        <w:t xml:space="preserve"> </w:t>
      </w:r>
      <w:r>
        <w:rPr>
          <w:noProof/>
          <w:color w:val="FF0000"/>
          <w:position w:val="-6"/>
        </w:rPr>
        <w:pict w14:anchorId="1FAC337E">
          <v:shape id="_x0000_i1026" type="#_x0000_t75" alt="" style="width:19.5pt;height:16.5pt;mso-width-percent:0;mso-height-percent:0;mso-width-percent:0;mso-height-percent:0">
            <v:imagedata r:id="rId20" o:title=""/>
          </v:shape>
        </w:pict>
      </w:r>
      <w:r w:rsidRPr="00994652">
        <w:rPr>
          <w:color w:val="1A1A1A"/>
        </w:rPr>
        <w:t xml:space="preserve">. </w:t>
      </w:r>
    </w:p>
    <w:p w:rsidR="00EA4F81" w:rsidRPr="00994652" w:rsidRDefault="00580654" w:rsidP="00711423">
      <w:pPr>
        <w:widowControl w:val="0"/>
        <w:tabs>
          <w:tab w:val="left" w:pos="709"/>
        </w:tabs>
        <w:autoSpaceDE w:val="0"/>
        <w:autoSpaceDN w:val="0"/>
        <w:adjustRightInd w:val="0"/>
        <w:spacing w:after="240" w:line="276" w:lineRule="auto"/>
        <w:jc w:val="both"/>
      </w:pPr>
      <w:r w:rsidRPr="00994652">
        <w:rPr>
          <w:b/>
          <w:bCs/>
        </w:rPr>
        <w:t>3-</w:t>
      </w:r>
      <w:r w:rsidRPr="00994652">
        <w:t xml:space="preserve"> La fréquence du La</w:t>
      </w:r>
      <w:r w:rsidRPr="00994652">
        <w:rPr>
          <w:vertAlign w:val="subscript"/>
        </w:rPr>
        <w:t>3</w:t>
      </w:r>
      <w:r w:rsidRPr="00994652">
        <w:t xml:space="preserve"> est égale à 440 Hz. Calculer la valeur, arrondie au dixième, de la fréquence de la note suivante (</w:t>
      </w:r>
      <w:r w:rsidRPr="00994652">
        <w:rPr>
          <w:color w:val="1A1A1A"/>
        </w:rPr>
        <w:t>Si</w:t>
      </w:r>
      <w:r w:rsidRPr="00994652">
        <w:rPr>
          <w:color w:val="1A1A1A"/>
          <w:vertAlign w:val="subscript"/>
        </w:rPr>
        <w:t>3</w:t>
      </w:r>
      <w:r w:rsidRPr="00994652">
        <w:rPr>
          <w:color w:val="1A1A1A"/>
          <w:vertAlign w:val="superscript"/>
        </w:rPr>
        <w:t>b</w:t>
      </w:r>
      <w:r w:rsidRPr="00994652">
        <w:t xml:space="preserve">) dans la gamme tempérée. </w:t>
      </w:r>
    </w:p>
    <w:p w:rsidR="00EA4F81" w:rsidRPr="00994652" w:rsidRDefault="00580654" w:rsidP="00711423">
      <w:pPr>
        <w:widowControl w:val="0"/>
        <w:tabs>
          <w:tab w:val="left" w:pos="709"/>
        </w:tabs>
        <w:autoSpaceDE w:val="0"/>
        <w:autoSpaceDN w:val="0"/>
        <w:adjustRightInd w:val="0"/>
        <w:spacing w:after="120" w:line="276" w:lineRule="auto"/>
        <w:jc w:val="both"/>
      </w:pPr>
      <w:r w:rsidRPr="00994652">
        <w:rPr>
          <w:b/>
          <w:bCs/>
        </w:rPr>
        <w:t>4-</w:t>
      </w:r>
      <w:r w:rsidRPr="00994652">
        <w:t xml:space="preserve"> Jusqu’au XVII</w:t>
      </w:r>
      <w:r w:rsidRPr="00994652">
        <w:rPr>
          <w:vertAlign w:val="superscript"/>
        </w:rPr>
        <w:t>e</w:t>
      </w:r>
      <w:r w:rsidRPr="00994652">
        <w:t xml:space="preserve"> siècle, la gamme la plus utilisée était la gamme de Pythagore, obtenue à partir des quintes successives d’un</w:t>
      </w:r>
      <w:r w:rsidRPr="00994652">
        <w:t>e note initiale. Le tableau ci-dessous donne les fréquences des différentes notes de la gamme de Pythagore en partant de 440 Hz.</w:t>
      </w:r>
    </w:p>
    <w:tbl>
      <w:tblPr>
        <w:tblStyle w:val="Grilledutableau"/>
        <w:tblpPr w:leftFromText="141" w:rightFromText="141" w:vertAnchor="text" w:horzAnchor="margin" w:tblpXSpec="center" w:tblpY="117"/>
        <w:tblW w:w="9970" w:type="dxa"/>
        <w:tblLayout w:type="fixed"/>
        <w:tblLook w:val="04A0" w:firstRow="1" w:lastRow="0" w:firstColumn="1" w:lastColumn="0" w:noHBand="0" w:noVBand="1"/>
      </w:tblPr>
      <w:tblGrid>
        <w:gridCol w:w="1368"/>
        <w:gridCol w:w="603"/>
        <w:gridCol w:w="755"/>
        <w:gridCol w:w="755"/>
        <w:gridCol w:w="754"/>
        <w:gridCol w:w="755"/>
        <w:gridCol w:w="603"/>
        <w:gridCol w:w="755"/>
        <w:gridCol w:w="603"/>
        <w:gridCol w:w="755"/>
        <w:gridCol w:w="754"/>
        <w:gridCol w:w="755"/>
        <w:gridCol w:w="755"/>
      </w:tblGrid>
      <w:tr w:rsidR="00C34A3B" w:rsidRPr="00711423" w:rsidTr="00711423">
        <w:trPr>
          <w:trHeight w:val="620"/>
        </w:trPr>
        <w:tc>
          <w:tcPr>
            <w:tcW w:w="1368"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Note</w:t>
            </w:r>
          </w:p>
        </w:tc>
        <w:tc>
          <w:tcPr>
            <w:tcW w:w="603"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Mi</w:t>
            </w:r>
            <w:r w:rsidRPr="00711423">
              <w:rPr>
                <w:color w:val="1A1A1A"/>
                <w:sz w:val="22"/>
                <w:vertAlign w:val="subscript"/>
              </w:rPr>
              <w:t>3</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Fa</w:t>
            </w:r>
            <w:r w:rsidRPr="00711423">
              <w:rPr>
                <w:color w:val="1A1A1A"/>
                <w:sz w:val="22"/>
                <w:vertAlign w:val="subscript"/>
              </w:rPr>
              <w:t>3</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Fa</w:t>
            </w:r>
            <w:r w:rsidRPr="00711423">
              <w:rPr>
                <w:color w:val="1A1A1A"/>
                <w:sz w:val="22"/>
                <w:vertAlign w:val="subscript"/>
              </w:rPr>
              <w:t>3</w:t>
            </w:r>
            <w:r w:rsidRPr="00711423">
              <w:rPr>
                <w:color w:val="1A1A1A"/>
                <w:sz w:val="22"/>
                <w:vertAlign w:val="superscript"/>
              </w:rPr>
              <w:t>#</w:t>
            </w:r>
          </w:p>
        </w:tc>
        <w:tc>
          <w:tcPr>
            <w:tcW w:w="754"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Sol</w:t>
            </w:r>
            <w:r w:rsidRPr="00711423">
              <w:rPr>
                <w:color w:val="1A1A1A"/>
                <w:sz w:val="22"/>
                <w:vertAlign w:val="subscript"/>
              </w:rPr>
              <w:t>3</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Sol</w:t>
            </w:r>
            <w:r w:rsidRPr="00711423">
              <w:rPr>
                <w:color w:val="1A1A1A"/>
                <w:sz w:val="22"/>
                <w:vertAlign w:val="subscript"/>
              </w:rPr>
              <w:t>3</w:t>
            </w:r>
            <w:r w:rsidRPr="00711423">
              <w:rPr>
                <w:color w:val="1A1A1A"/>
                <w:sz w:val="22"/>
                <w:vertAlign w:val="superscript"/>
              </w:rPr>
              <w:t>#</w:t>
            </w:r>
          </w:p>
        </w:tc>
        <w:tc>
          <w:tcPr>
            <w:tcW w:w="603"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La</w:t>
            </w:r>
            <w:r w:rsidRPr="00711423">
              <w:rPr>
                <w:color w:val="1A1A1A"/>
                <w:sz w:val="22"/>
                <w:vertAlign w:val="subscript"/>
              </w:rPr>
              <w:t>3</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Si</w:t>
            </w:r>
            <w:r w:rsidRPr="00711423">
              <w:rPr>
                <w:color w:val="1A1A1A"/>
                <w:sz w:val="22"/>
                <w:vertAlign w:val="subscript"/>
              </w:rPr>
              <w:t>3</w:t>
            </w:r>
            <w:r w:rsidRPr="00711423">
              <w:rPr>
                <w:color w:val="1A1A1A"/>
                <w:sz w:val="22"/>
                <w:vertAlign w:val="superscript"/>
              </w:rPr>
              <w:t>b</w:t>
            </w:r>
          </w:p>
        </w:tc>
        <w:tc>
          <w:tcPr>
            <w:tcW w:w="603"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Si</w:t>
            </w:r>
            <w:r w:rsidRPr="00711423">
              <w:rPr>
                <w:color w:val="1A1A1A"/>
                <w:sz w:val="22"/>
                <w:vertAlign w:val="subscript"/>
              </w:rPr>
              <w:t>3</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Do</w:t>
            </w:r>
            <w:r w:rsidRPr="00711423">
              <w:rPr>
                <w:color w:val="1A1A1A"/>
                <w:sz w:val="22"/>
                <w:vertAlign w:val="subscript"/>
              </w:rPr>
              <w:t>4</w:t>
            </w:r>
          </w:p>
        </w:tc>
        <w:tc>
          <w:tcPr>
            <w:tcW w:w="754" w:type="dxa"/>
            <w:vAlign w:val="center"/>
          </w:tcPr>
          <w:p w:rsidR="00EA4F81" w:rsidRPr="00711423" w:rsidRDefault="00580654" w:rsidP="00711423">
            <w:pPr>
              <w:spacing w:before="40" w:after="40" w:line="276" w:lineRule="auto"/>
              <w:jc w:val="center"/>
              <w:rPr>
                <w:color w:val="1A1A1A"/>
                <w:sz w:val="22"/>
                <w:vertAlign w:val="superscript"/>
              </w:rPr>
            </w:pPr>
            <w:r w:rsidRPr="00711423">
              <w:rPr>
                <w:color w:val="1A1A1A"/>
                <w:sz w:val="22"/>
              </w:rPr>
              <w:t>Do</w:t>
            </w:r>
            <w:r w:rsidRPr="00711423">
              <w:rPr>
                <w:color w:val="1A1A1A"/>
                <w:sz w:val="22"/>
                <w:vertAlign w:val="subscript"/>
              </w:rPr>
              <w:t>4</w:t>
            </w:r>
            <w:r w:rsidRPr="00711423">
              <w:rPr>
                <w:color w:val="1A1A1A"/>
                <w:sz w:val="22"/>
                <w:vertAlign w:val="superscript"/>
              </w:rPr>
              <w:t>#</w:t>
            </w:r>
          </w:p>
        </w:tc>
        <w:tc>
          <w:tcPr>
            <w:tcW w:w="755" w:type="dxa"/>
            <w:vAlign w:val="center"/>
          </w:tcPr>
          <w:p w:rsidR="00EA4F81" w:rsidRPr="00711423" w:rsidRDefault="00580654" w:rsidP="00711423">
            <w:pPr>
              <w:spacing w:before="40" w:after="40" w:line="276" w:lineRule="auto"/>
              <w:jc w:val="center"/>
              <w:rPr>
                <w:color w:val="1A1A1A"/>
                <w:sz w:val="22"/>
              </w:rPr>
            </w:pPr>
            <w:r w:rsidRPr="00711423">
              <w:rPr>
                <w:color w:val="1A1A1A"/>
                <w:sz w:val="22"/>
              </w:rPr>
              <w:t>Ré</w:t>
            </w:r>
            <w:r w:rsidRPr="00711423">
              <w:rPr>
                <w:color w:val="1A1A1A"/>
                <w:sz w:val="22"/>
                <w:vertAlign w:val="subscript"/>
              </w:rPr>
              <w:t>4</w:t>
            </w:r>
          </w:p>
        </w:tc>
        <w:tc>
          <w:tcPr>
            <w:tcW w:w="755" w:type="dxa"/>
            <w:vAlign w:val="center"/>
          </w:tcPr>
          <w:p w:rsidR="00EA4F81" w:rsidRPr="00711423" w:rsidRDefault="00580654" w:rsidP="00711423">
            <w:pPr>
              <w:spacing w:before="40" w:after="40" w:line="276" w:lineRule="auto"/>
              <w:jc w:val="center"/>
              <w:rPr>
                <w:color w:val="1A1A1A"/>
                <w:sz w:val="22"/>
                <w:vertAlign w:val="superscript"/>
              </w:rPr>
            </w:pPr>
            <w:r w:rsidRPr="00711423">
              <w:rPr>
                <w:color w:val="1A1A1A"/>
                <w:sz w:val="22"/>
              </w:rPr>
              <w:t>Ré</w:t>
            </w:r>
            <w:r w:rsidRPr="00711423">
              <w:rPr>
                <w:color w:val="1A1A1A"/>
                <w:sz w:val="22"/>
                <w:vertAlign w:val="subscript"/>
              </w:rPr>
              <w:t>4</w:t>
            </w:r>
            <w:r w:rsidRPr="00711423">
              <w:rPr>
                <w:color w:val="1A1A1A"/>
                <w:sz w:val="22"/>
                <w:vertAlign w:val="superscript"/>
              </w:rPr>
              <w:t>#</w:t>
            </w:r>
          </w:p>
        </w:tc>
      </w:tr>
      <w:tr w:rsidR="00C34A3B" w:rsidRPr="00711423" w:rsidTr="00711423">
        <w:trPr>
          <w:trHeight w:val="644"/>
        </w:trPr>
        <w:tc>
          <w:tcPr>
            <w:tcW w:w="1368" w:type="dxa"/>
            <w:vAlign w:val="center"/>
          </w:tcPr>
          <w:p w:rsidR="00EA4F81" w:rsidRPr="00711423" w:rsidRDefault="00580654" w:rsidP="00711423">
            <w:pPr>
              <w:widowControl w:val="0"/>
              <w:tabs>
                <w:tab w:val="left" w:pos="220"/>
                <w:tab w:val="left" w:pos="720"/>
              </w:tabs>
              <w:autoSpaceDE w:val="0"/>
              <w:autoSpaceDN w:val="0"/>
              <w:adjustRightInd w:val="0"/>
              <w:spacing w:before="40" w:after="40" w:line="276" w:lineRule="auto"/>
              <w:jc w:val="center"/>
              <w:rPr>
                <w:color w:val="1A1A1A"/>
                <w:sz w:val="22"/>
              </w:rPr>
            </w:pPr>
            <w:r w:rsidRPr="00711423">
              <w:rPr>
                <w:color w:val="1A1A1A"/>
                <w:sz w:val="22"/>
              </w:rPr>
              <w:t>Fréquence (Hz)</w:t>
            </w:r>
          </w:p>
        </w:tc>
        <w:tc>
          <w:tcPr>
            <w:tcW w:w="603"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330</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352,4</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371,3</w:t>
            </w:r>
          </w:p>
        </w:tc>
        <w:tc>
          <w:tcPr>
            <w:tcW w:w="754"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396,4</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417,7</w:t>
            </w:r>
          </w:p>
        </w:tc>
        <w:tc>
          <w:tcPr>
            <w:tcW w:w="603"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440</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469,9</w:t>
            </w:r>
          </w:p>
        </w:tc>
        <w:tc>
          <w:tcPr>
            <w:tcW w:w="603"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495</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528,6</w:t>
            </w:r>
          </w:p>
        </w:tc>
        <w:tc>
          <w:tcPr>
            <w:tcW w:w="754"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556,9</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594,7</w:t>
            </w:r>
          </w:p>
        </w:tc>
        <w:tc>
          <w:tcPr>
            <w:tcW w:w="755" w:type="dxa"/>
            <w:vAlign w:val="center"/>
          </w:tcPr>
          <w:p w:rsidR="00EA4F81" w:rsidRPr="00711423" w:rsidRDefault="00580654" w:rsidP="00711423">
            <w:pPr>
              <w:spacing w:before="40" w:after="40" w:line="276" w:lineRule="auto"/>
              <w:jc w:val="center"/>
              <w:rPr>
                <w:color w:val="1A1A1A"/>
                <w:sz w:val="20"/>
                <w:szCs w:val="21"/>
              </w:rPr>
            </w:pPr>
            <w:r w:rsidRPr="00711423">
              <w:rPr>
                <w:sz w:val="20"/>
                <w:szCs w:val="21"/>
              </w:rPr>
              <w:t>626,5</w:t>
            </w:r>
          </w:p>
        </w:tc>
      </w:tr>
    </w:tbl>
    <w:p w:rsidR="00EA4F81" w:rsidRPr="00994652" w:rsidRDefault="00580654" w:rsidP="00711423">
      <w:pPr>
        <w:spacing w:after="0" w:line="276" w:lineRule="auto"/>
      </w:pPr>
    </w:p>
    <w:p w:rsidR="00EA4F81" w:rsidRPr="00994652" w:rsidRDefault="00580654" w:rsidP="00711423">
      <w:pPr>
        <w:spacing w:after="240" w:line="276" w:lineRule="auto"/>
        <w:jc w:val="both"/>
      </w:pPr>
      <w:r w:rsidRPr="00994652">
        <w:rPr>
          <w:b/>
          <w:bCs/>
        </w:rPr>
        <w:t>4-a-</w:t>
      </w:r>
      <w:r w:rsidRPr="00994652">
        <w:t xml:space="preserve"> Calculer le rapport des fréquences des notes Si</w:t>
      </w:r>
      <w:r w:rsidRPr="00994652">
        <w:rPr>
          <w:vertAlign w:val="subscript"/>
        </w:rPr>
        <w:t>3</w:t>
      </w:r>
      <w:r w:rsidRPr="00994652">
        <w:t xml:space="preserve"> et Mi</w:t>
      </w:r>
      <w:r w:rsidRPr="00994652">
        <w:rPr>
          <w:vertAlign w:val="subscript"/>
        </w:rPr>
        <w:t>3</w:t>
      </w:r>
      <w:r w:rsidRPr="00994652">
        <w:t xml:space="preserve"> et donner le nom d’un tel intervalle.</w:t>
      </w:r>
    </w:p>
    <w:p w:rsidR="00EA4F81" w:rsidRPr="00994652" w:rsidRDefault="00580654" w:rsidP="00711423">
      <w:pPr>
        <w:spacing w:after="240" w:line="276" w:lineRule="auto"/>
        <w:jc w:val="both"/>
      </w:pPr>
      <w:r w:rsidRPr="00994652">
        <w:rPr>
          <w:b/>
          <w:bCs/>
        </w:rPr>
        <w:t>4-b-</w:t>
      </w:r>
      <w:r w:rsidRPr="00994652">
        <w:t xml:space="preserve"> On considère la fonction Python</w:t>
      </w:r>
      <w:r>
        <w:rPr>
          <w:rFonts w:ascii="Courier New" w:hAnsi="Courier New" w:cs="Courier New"/>
        </w:rPr>
        <w:t> </w:t>
      </w:r>
      <w:r w:rsidRPr="00994652">
        <w:rPr>
          <w:rFonts w:ascii="Courier New" w:hAnsi="Courier New" w:cs="Courier New"/>
        </w:rPr>
        <w:t>freq_suivante</w:t>
      </w:r>
      <w:r>
        <w:t xml:space="preserve"> </w:t>
      </w:r>
      <w:r w:rsidRPr="00994652">
        <w:t xml:space="preserve">ci-dessous qui permet de construire la gamme de Pythagore. </w:t>
      </w:r>
    </w:p>
    <w:p w:rsidR="00C34A3B" w:rsidRPr="00994652" w:rsidRDefault="00580654" w:rsidP="00EA4F81">
      <w:pPr>
        <w:spacing w:line="276" w:lineRule="auto"/>
      </w:pPr>
    </w:p>
    <w:p w:rsidR="00EA4F81" w:rsidRPr="00994652" w:rsidRDefault="00580654"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rPr>
      </w:pPr>
      <w:r>
        <w:rPr>
          <w:rFonts w:ascii="Courier New" w:hAnsi="Courier New" w:cs="Courier New"/>
          <w:color w:val="000000" w:themeColor="text1"/>
          <w:sz w:val="24"/>
          <w:szCs w:val="24"/>
        </w:rPr>
        <w:t>def freq_suivante(f)</w:t>
      </w:r>
      <w:r w:rsidRPr="00994652">
        <w:rPr>
          <w:rFonts w:ascii="Courier New" w:hAnsi="Courier New" w:cs="Courier New"/>
          <w:color w:val="000000" w:themeColor="text1"/>
          <w:sz w:val="24"/>
          <w:szCs w:val="24"/>
        </w:rPr>
        <w:t>:</w:t>
      </w:r>
    </w:p>
    <w:p w:rsidR="00EA4F81" w:rsidRPr="00994652" w:rsidRDefault="00580654"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rPr>
      </w:pPr>
      <w:r w:rsidRPr="00994652">
        <w:rPr>
          <w:rFonts w:ascii="Courier New" w:hAnsi="Courier New" w:cs="Courier New"/>
          <w:color w:val="000000" w:themeColor="text1"/>
          <w:sz w:val="24"/>
          <w:szCs w:val="24"/>
        </w:rPr>
        <w:t xml:space="preserve">    f = 3/2*f</w:t>
      </w:r>
    </w:p>
    <w:p w:rsidR="00EA4F81" w:rsidRPr="00994652" w:rsidRDefault="00580654"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rPr>
        <w:t xml:space="preserve">    </w:t>
      </w:r>
      <w:r w:rsidRPr="00994652">
        <w:rPr>
          <w:rFonts w:ascii="Courier New" w:hAnsi="Courier New" w:cs="Courier New"/>
          <w:color w:val="000000" w:themeColor="text1"/>
          <w:sz w:val="24"/>
          <w:szCs w:val="24"/>
          <w:lang w:val="en-US"/>
        </w:rPr>
        <w:t>if f &gt;= 660 :</w:t>
      </w:r>
    </w:p>
    <w:p w:rsidR="00EA4F81" w:rsidRPr="00994652" w:rsidRDefault="00580654"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lang w:val="en-US"/>
        </w:rPr>
        <w:t xml:space="preserve">        f = f/2</w:t>
      </w:r>
    </w:p>
    <w:p w:rsidR="00EA4F81" w:rsidRPr="00994652" w:rsidRDefault="00580654"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lang w:val="en-US"/>
        </w:rPr>
        <w:t xml:space="preserve">    return(f)</w:t>
      </w:r>
    </w:p>
    <w:p w:rsidR="00C34A3B" w:rsidRPr="00994652" w:rsidRDefault="00580654" w:rsidP="00711423">
      <w:pPr>
        <w:spacing w:before="240" w:after="120" w:line="276" w:lineRule="auto"/>
        <w:jc w:val="both"/>
      </w:pPr>
      <w:r w:rsidRPr="00994652">
        <w:t>Donner les nombre</w:t>
      </w:r>
      <w:r>
        <w:t>s renvoyés après l’exécution de  </w:t>
      </w:r>
      <w:r w:rsidRPr="00994652">
        <w:rPr>
          <w:rFonts w:ascii="Courier New" w:hAnsi="Courier New" w:cs="Courier New"/>
        </w:rPr>
        <w:t>freq_suivante(330)</w:t>
      </w:r>
      <w:r>
        <w:rPr>
          <w:rFonts w:ascii="Courier New" w:hAnsi="Courier New" w:cs="Courier New"/>
        </w:rPr>
        <w:t> </w:t>
      </w:r>
      <w:r w:rsidRPr="00994652">
        <w:t xml:space="preserve">et de </w:t>
      </w:r>
      <w:r w:rsidRPr="00994652">
        <w:rPr>
          <w:rFonts w:ascii="Courier New" w:hAnsi="Courier New" w:cs="Courier New"/>
        </w:rPr>
        <w:t>freq_suivante(440)</w:t>
      </w:r>
      <w:r w:rsidRPr="00994652">
        <w:t xml:space="preserve">. </w:t>
      </w:r>
    </w:p>
    <w:p w:rsidR="00C92D6F" w:rsidRPr="00994652" w:rsidRDefault="00580654" w:rsidP="00711423">
      <w:pPr>
        <w:spacing w:line="276" w:lineRule="auto"/>
        <w:jc w:val="both"/>
      </w:pPr>
      <w:r w:rsidRPr="00994652">
        <w:t>Préciser les notes correspondantes.</w:t>
      </w:r>
    </w:p>
    <w:sectPr w:rsidR="00C92D6F" w:rsidRPr="00994652" w:rsidSect="00E61EB3">
      <w:headerReference w:type="even" r:id="rId21"/>
      <w:headerReference w:type="default" r:id="rId22"/>
      <w:footerReference w:type="even" r:id="rId23"/>
      <w:footerReference w:type="default" r:id="rId24"/>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80654" w:rsidRPr="00580654">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80654" w:rsidRPr="00580654">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80654" w:rsidRPr="00580654">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80654" w:rsidRPr="00580654">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0654"/>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_x0000_s1032"/>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r.wikipedia.org/wiki/Croute_terrestre"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1753</Words>
  <Characters>9642</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