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5200B3">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5200B3">
              <w:rPr>
                <w:rFonts w:eastAsia="Times New Roman"/>
                <w:color w:val="000000" w:themeColor="text1"/>
                <w:sz w:val="20"/>
                <w:szCs w:val="22"/>
              </w:rPr>
              <w:t>Terminale – Épreuve de fin de cycle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5200B3">
              <w:rPr>
                <w:rFonts w:eastAsia="Times New Roman"/>
                <w:b/>
                <w:color w:val="000000" w:themeColor="text1"/>
                <w:sz w:val="20"/>
                <w:szCs w:val="22"/>
              </w:rPr>
              <w:t xml:space="preserve"> 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5200B3"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5200B3">
              <w:rPr>
                <w:rFonts w:eastAsia="Times New Roman"/>
                <w:color w:val="000000" w:themeColor="text1"/>
                <w:sz w:val="20"/>
                <w:szCs w:val="22"/>
              </w:rPr>
              <w:t xml:space="preserve">isés (LV) : </w:t>
            </w:r>
            <w:r w:rsidR="005200B3">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5200B3">
              <w:rPr>
                <w:rFonts w:eastAsia="Times New Roman"/>
                <w:color w:val="000000" w:themeColor="text1"/>
                <w:sz w:val="20"/>
                <w:szCs w:val="22"/>
              </w:rPr>
              <w:t xml:space="preserve"> </w:t>
            </w:r>
            <w:r w:rsidR="005200B3">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1E194B"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1E194B"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1E194B"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5200B3" w:rsidRPr="00626E0F">
              <w:rPr>
                <w:rFonts w:eastAsia="Times New Roman"/>
                <w:color w:val="000000" w:themeColor="text1"/>
                <w:sz w:val="20"/>
                <w:szCs w:val="22"/>
              </w:rPr>
              <w:t xml:space="preserve"> </w:t>
            </w:r>
            <w:r w:rsidR="005200B3">
              <w:rPr>
                <w:rFonts w:eastAsia="Times New Roman"/>
                <w:color w:val="000000" w:themeColor="text1"/>
                <w:sz w:val="20"/>
                <w:szCs w:val="22"/>
              </w:rPr>
              <w:fldChar w:fldCharType="begin"/>
            </w:r>
            <w:r w:rsidR="005200B3">
              <w:rPr>
                <w:rFonts w:eastAsia="Times New Roman"/>
                <w:color w:val="000000" w:themeColor="text1"/>
                <w:sz w:val="20"/>
                <w:szCs w:val="22"/>
              </w:rPr>
              <w:instrText xml:space="preserve"> NUMPAGES   \* MERGEFORMAT </w:instrText>
            </w:r>
            <w:r w:rsidR="005200B3">
              <w:rPr>
                <w:rFonts w:eastAsia="Times New Roman"/>
                <w:color w:val="000000" w:themeColor="text1"/>
                <w:sz w:val="20"/>
                <w:szCs w:val="22"/>
              </w:rPr>
              <w:fldChar w:fldCharType="separate"/>
            </w:r>
            <w:r w:rsidR="001E194B">
              <w:rPr>
                <w:rFonts w:eastAsia="Times New Roman"/>
                <w:noProof/>
                <w:color w:val="000000" w:themeColor="text1"/>
                <w:sz w:val="20"/>
                <w:szCs w:val="22"/>
              </w:rPr>
              <w:t>13</w:t>
            </w:r>
            <w:r w:rsidR="005200B3">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400A0D" w:rsidRDefault="005200B3" w:rsidP="00400A0D">
      <w:pPr>
        <w:pStyle w:val="EnTetePiedsDePage"/>
        <w:spacing w:after="120"/>
        <w:jc w:val="both"/>
        <w:rPr>
          <w:b/>
          <w:bCs/>
          <w:sz w:val="28"/>
          <w:szCs w:val="28"/>
        </w:rPr>
      </w:pPr>
      <w:r>
        <w:rPr>
          <w:b/>
          <w:bCs/>
          <w:sz w:val="28"/>
          <w:szCs w:val="28"/>
        </w:rPr>
        <w:t xml:space="preserve">Parmi les trois exercices qui composent ce sujet, le candidat </w:t>
      </w:r>
      <w:r w:rsidR="007274F4">
        <w:rPr>
          <w:b/>
          <w:bCs/>
          <w:sz w:val="28"/>
          <w:szCs w:val="28"/>
        </w:rPr>
        <w:t>en traite obligatoirement deux.</w:t>
      </w:r>
    </w:p>
    <w:p w:rsidR="00400A0D" w:rsidRDefault="005200B3" w:rsidP="00400A0D">
      <w:pPr>
        <w:pStyle w:val="EnTetePiedsDePage"/>
        <w:spacing w:after="120"/>
        <w:jc w:val="both"/>
        <w:rPr>
          <w:b/>
          <w:bCs/>
          <w:sz w:val="28"/>
          <w:szCs w:val="28"/>
        </w:rPr>
      </w:pPr>
      <w:r>
        <w:rPr>
          <w:b/>
          <w:bCs/>
          <w:sz w:val="28"/>
          <w:szCs w:val="28"/>
        </w:rPr>
        <w:t xml:space="preserve">L’exercice 1, du niveau de la classe de terminale, doit être </w:t>
      </w:r>
      <w:r>
        <w:rPr>
          <w:b/>
          <w:bCs/>
          <w:sz w:val="28"/>
          <w:szCs w:val="28"/>
          <w:u w:val="single"/>
        </w:rPr>
        <w:t>obligatoirement</w:t>
      </w:r>
      <w:r w:rsidR="007274F4">
        <w:rPr>
          <w:b/>
          <w:bCs/>
          <w:sz w:val="28"/>
          <w:szCs w:val="28"/>
        </w:rPr>
        <w:t xml:space="preserve"> abordé.</w:t>
      </w:r>
    </w:p>
    <w:p w:rsidR="00400A0D" w:rsidRPr="00645773" w:rsidRDefault="005200B3" w:rsidP="00400A0D">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du niveau de la classe de première. Il indique son choix en début de copie.</w:t>
      </w:r>
      <w:r>
        <w:br w:type="page"/>
      </w:r>
    </w:p>
    <w:p w:rsidR="009A166B" w:rsidRPr="00A77456" w:rsidRDefault="001E194B" w:rsidP="009A166B">
      <w:pPr>
        <w:spacing w:after="80"/>
        <w:jc w:val="center"/>
        <w:rPr>
          <w:rFonts w:eastAsia="Arial" w:cs="Arial"/>
          <w:b/>
          <w:sz w:val="32"/>
        </w:rPr>
      </w:pPr>
      <w:r>
        <w:rPr>
          <w:rFonts w:eastAsia="Arial" w:cs="Arial"/>
          <w:b/>
          <w:sz w:val="32"/>
        </w:rPr>
        <w:lastRenderedPageBreak/>
        <w:t xml:space="preserve">Exercice 1 (obligatoire) – </w:t>
      </w:r>
      <w:r w:rsidRPr="00A77456">
        <w:rPr>
          <w:rFonts w:eastAsia="Arial" w:cs="Arial"/>
          <w:b/>
          <w:i/>
          <w:sz w:val="28"/>
        </w:rPr>
        <w:t>Niveau terminale</w:t>
      </w:r>
    </w:p>
    <w:p w:rsidR="009A166B" w:rsidRPr="00A77456" w:rsidRDefault="001E194B" w:rsidP="009A166B">
      <w:pPr>
        <w:spacing w:after="240"/>
        <w:jc w:val="center"/>
        <w:rPr>
          <w:rFonts w:eastAsia="Arial" w:cs="Arial"/>
          <w:i/>
        </w:rPr>
      </w:pPr>
      <w:r w:rsidRPr="00A77456">
        <w:rPr>
          <w:rFonts w:eastAsia="Arial" w:cs="Arial"/>
          <w:i/>
        </w:rPr>
        <w:t>Thème « </w:t>
      </w:r>
      <w:r>
        <w:rPr>
          <w:rFonts w:eastAsia="Arial" w:cs="Arial"/>
          <w:i/>
        </w:rPr>
        <w:t>Une histoire du vivant »</w:t>
      </w:r>
    </w:p>
    <w:p w:rsidR="009A166B" w:rsidRPr="00D87AD1" w:rsidRDefault="001E194B" w:rsidP="009A166B">
      <w:pPr>
        <w:spacing w:after="120"/>
        <w:rPr>
          <w:b/>
          <w:sz w:val="22"/>
        </w:rPr>
      </w:pPr>
      <w:r>
        <w:rPr>
          <w:rFonts w:cs="Arial"/>
          <w:b/>
          <w:sz w:val="28"/>
        </w:rPr>
        <w:t>É</w:t>
      </w:r>
      <w:r>
        <w:rPr>
          <w:b/>
          <w:sz w:val="28"/>
        </w:rPr>
        <w:t>tude démographique de la population d’Afrique du Sud</w:t>
      </w:r>
    </w:p>
    <w:p w:rsidR="009A166B" w:rsidRPr="000E2C8B" w:rsidRDefault="001E194B" w:rsidP="002740FE">
      <w:pPr>
        <w:spacing w:after="360"/>
        <w:rPr>
          <w:i/>
        </w:rPr>
      </w:pPr>
      <w:r w:rsidRPr="00D74F67">
        <w:rPr>
          <w:i/>
        </w:rPr>
        <w:t xml:space="preserve">Sur 10 </w:t>
      </w:r>
      <w:r w:rsidRPr="00D74F67">
        <w:rPr>
          <w:i/>
        </w:rPr>
        <w:t>points</w:t>
      </w:r>
    </w:p>
    <w:p w:rsidR="000061A2" w:rsidRPr="00A167A4" w:rsidRDefault="001E194B" w:rsidP="002740FE">
      <w:pPr>
        <w:spacing w:after="480"/>
        <w:rPr>
          <w:rFonts w:cs="Arial"/>
          <w:iCs/>
          <w:color w:val="202122"/>
          <w:sz w:val="21"/>
          <w:szCs w:val="21"/>
          <w:shd w:val="clear" w:color="auto" w:fill="FFFFFF"/>
        </w:rPr>
      </w:pPr>
      <w:r w:rsidRPr="00A167A4">
        <w:rPr>
          <w:iCs/>
        </w:rPr>
        <w:t xml:space="preserve">Cet exercice a pour objet l’étude </w:t>
      </w:r>
      <w:r>
        <w:rPr>
          <w:iCs/>
        </w:rPr>
        <w:t xml:space="preserve">démographique </w:t>
      </w:r>
      <w:r w:rsidRPr="00A167A4">
        <w:rPr>
          <w:iCs/>
        </w:rPr>
        <w:t>d’une population.</w:t>
      </w:r>
      <w:r>
        <w:rPr>
          <w:iCs/>
        </w:rPr>
        <w:t xml:space="preserve"> </w:t>
      </w:r>
    </w:p>
    <w:tbl>
      <w:tblPr>
        <w:tblStyle w:val="Grilledutableau"/>
        <w:tblW w:w="0" w:type="auto"/>
        <w:jc w:val="center"/>
        <w:tblLook w:val="04A0" w:firstRow="1" w:lastRow="0" w:firstColumn="1" w:lastColumn="0" w:noHBand="0" w:noVBand="1"/>
      </w:tblPr>
      <w:tblGrid>
        <w:gridCol w:w="9036"/>
      </w:tblGrid>
      <w:tr w:rsidR="00F62D43" w:rsidRPr="005603B4" w:rsidTr="007A0DE3">
        <w:trPr>
          <w:jc w:val="center"/>
        </w:trPr>
        <w:tc>
          <w:tcPr>
            <w:tcW w:w="9036" w:type="dxa"/>
          </w:tcPr>
          <w:p w:rsidR="00F62D43" w:rsidRDefault="001E194B" w:rsidP="007A6348">
            <w:pPr>
              <w:spacing w:before="120"/>
              <w:rPr>
                <w:b/>
              </w:rPr>
            </w:pPr>
            <w:r w:rsidRPr="002B0602">
              <w:rPr>
                <w:b/>
                <w:u w:val="single"/>
              </w:rPr>
              <w:t>Doc</w:t>
            </w:r>
            <w:r>
              <w:rPr>
                <w:b/>
                <w:u w:val="single"/>
              </w:rPr>
              <w:t>ument</w:t>
            </w:r>
            <w:r w:rsidRPr="002B0602">
              <w:rPr>
                <w:b/>
                <w:u w:val="single"/>
              </w:rPr>
              <w:t xml:space="preserve"> 1</w:t>
            </w:r>
            <w:r w:rsidRPr="00D355BF">
              <w:rPr>
                <w:b/>
              </w:rPr>
              <w:t> :</w:t>
            </w:r>
            <w:r>
              <w:rPr>
                <w:b/>
              </w:rPr>
              <w:t xml:space="preserve"> effectifs de la population en Afrique du Sud depuis 1950</w:t>
            </w:r>
          </w:p>
          <w:p w:rsidR="00F62D43" w:rsidRDefault="001E194B" w:rsidP="002740FE">
            <w:pPr>
              <w:jc w:val="center"/>
              <w:rPr>
                <w:b/>
              </w:rPr>
            </w:pPr>
            <w:r>
              <w:rPr>
                <w:b/>
                <w:noProof/>
              </w:rPr>
              <w:drawing>
                <wp:inline distT="0" distB="0" distL="0" distR="0" wp14:anchorId="0D8BB391" wp14:editId="0C8D9B1E">
                  <wp:extent cx="5515356" cy="3467100"/>
                  <wp:effectExtent l="0" t="0" r="9525" b="0"/>
                  <wp:docPr id="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rotWithShape="1">
                          <a:blip r:embed="rId10" cstate="print"/>
                          <a:srcRect l="2809" t="4412" r="11736"/>
                          <a:stretch/>
                        </pic:blipFill>
                        <pic:spPr bwMode="auto">
                          <a:xfrm>
                            <a:off x="0" y="0"/>
                            <a:ext cx="5522229" cy="3471421"/>
                          </a:xfrm>
                          <a:prstGeom prst="rect">
                            <a:avLst/>
                          </a:prstGeom>
                          <a:noFill/>
                          <a:ln>
                            <a:noFill/>
                          </a:ln>
                          <a:extLst>
                            <a:ext uri="{53640926-AAD7-44D8-BBD7-CCE9431645EC}">
                              <a14:shadowObscured xmlns:a14="http://schemas.microsoft.com/office/drawing/2010/main"/>
                            </a:ext>
                          </a:extLst>
                        </pic:spPr>
                      </pic:pic>
                    </a:graphicData>
                  </a:graphic>
                </wp:inline>
              </w:drawing>
            </w:r>
          </w:p>
          <w:p w:rsidR="00F62D43" w:rsidRPr="005603B4" w:rsidRDefault="001E194B" w:rsidP="007A6348">
            <w:pPr>
              <w:spacing w:after="120"/>
              <w:jc w:val="right"/>
              <w:rPr>
                <w:i/>
                <w:sz w:val="18"/>
                <w:szCs w:val="18"/>
              </w:rPr>
            </w:pPr>
            <w:r>
              <w:rPr>
                <w:i/>
                <w:sz w:val="18"/>
                <w:szCs w:val="18"/>
              </w:rPr>
              <w:t xml:space="preserve">                                                                                  Source : d</w:t>
            </w:r>
            <w:r w:rsidRPr="005603B4">
              <w:rPr>
                <w:i/>
                <w:sz w:val="18"/>
                <w:szCs w:val="18"/>
              </w:rPr>
              <w:t xml:space="preserve">’après World </w:t>
            </w:r>
            <w:r w:rsidRPr="005603B4">
              <w:rPr>
                <w:i/>
                <w:sz w:val="18"/>
                <w:szCs w:val="18"/>
              </w:rPr>
              <w:t>population prospects</w:t>
            </w:r>
          </w:p>
        </w:tc>
      </w:tr>
    </w:tbl>
    <w:p w:rsidR="002740FE" w:rsidRDefault="001E194B" w:rsidP="007A6348"/>
    <w:p w:rsidR="002740FE" w:rsidRDefault="001E194B">
      <w:pPr>
        <w:spacing w:after="0" w:line="240" w:lineRule="auto"/>
      </w:pPr>
      <w:r>
        <w:br w:type="page"/>
      </w:r>
    </w:p>
    <w:p w:rsidR="00074835" w:rsidRDefault="001E194B">
      <w:pPr>
        <w:spacing w:after="0" w:line="240" w:lineRule="auto"/>
      </w:pPr>
    </w:p>
    <w:tbl>
      <w:tblPr>
        <w:tblStyle w:val="Grilledutableau"/>
        <w:tblW w:w="9157" w:type="dxa"/>
        <w:jc w:val="center"/>
        <w:tblBorders>
          <w:insideH w:val="none" w:sz="0" w:space="0" w:color="auto"/>
          <w:insideV w:val="none" w:sz="0" w:space="0" w:color="auto"/>
        </w:tblBorders>
        <w:tblLook w:val="04A0" w:firstRow="1" w:lastRow="0" w:firstColumn="1" w:lastColumn="0" w:noHBand="0" w:noVBand="1"/>
      </w:tblPr>
      <w:tblGrid>
        <w:gridCol w:w="9157"/>
      </w:tblGrid>
      <w:tr w:rsidR="006E3913" w:rsidTr="007A0DE3">
        <w:trPr>
          <w:jc w:val="center"/>
        </w:trPr>
        <w:tc>
          <w:tcPr>
            <w:tcW w:w="9157" w:type="dxa"/>
          </w:tcPr>
          <w:p w:rsidR="00F62D43" w:rsidRDefault="001E194B" w:rsidP="007A6348">
            <w:pPr>
              <w:spacing w:before="120" w:after="200"/>
              <w:ind w:right="-2804"/>
            </w:pPr>
            <w:r w:rsidRPr="002B0602">
              <w:rPr>
                <w:b/>
                <w:u w:val="single"/>
              </w:rPr>
              <w:t>Doc</w:t>
            </w:r>
            <w:r>
              <w:rPr>
                <w:b/>
                <w:u w:val="single"/>
              </w:rPr>
              <w:t>ument</w:t>
            </w:r>
            <w:r w:rsidRPr="002B0602">
              <w:rPr>
                <w:b/>
                <w:u w:val="single"/>
              </w:rPr>
              <w:t xml:space="preserve"> 2</w:t>
            </w:r>
            <w:r>
              <w:t> </w:t>
            </w:r>
            <w:r w:rsidRPr="006E3913">
              <w:rPr>
                <w:b/>
                <w:bCs/>
              </w:rPr>
              <w:t>:</w:t>
            </w:r>
            <w:r>
              <w:rPr>
                <w:b/>
                <w:bCs/>
              </w:rPr>
              <w:t xml:space="preserve"> </w:t>
            </w:r>
            <w:r w:rsidRPr="006E3913">
              <w:rPr>
                <w:b/>
                <w:bCs/>
              </w:rPr>
              <w:t>données démographiques</w:t>
            </w:r>
            <w:r>
              <w:rPr>
                <w:b/>
                <w:bCs/>
              </w:rPr>
              <w:t xml:space="preserve"> d’Afrique du Sud</w:t>
            </w:r>
          </w:p>
          <w:tbl>
            <w:tblPr>
              <w:tblStyle w:val="Grilledutableau"/>
              <w:tblW w:w="8931" w:type="dxa"/>
              <w:tblLook w:val="04A0" w:firstRow="1" w:lastRow="0" w:firstColumn="1" w:lastColumn="0" w:noHBand="0" w:noVBand="1"/>
            </w:tblPr>
            <w:tblGrid>
              <w:gridCol w:w="910"/>
              <w:gridCol w:w="2673"/>
              <w:gridCol w:w="2674"/>
              <w:gridCol w:w="2674"/>
            </w:tblGrid>
            <w:tr w:rsidR="00F62D43" w:rsidRPr="00D355BF" w:rsidTr="00E93EF6">
              <w:trPr>
                <w:trHeight w:val="568"/>
              </w:trPr>
              <w:tc>
                <w:tcPr>
                  <w:tcW w:w="910" w:type="dxa"/>
                  <w:vAlign w:val="center"/>
                  <w:hideMark/>
                </w:tcPr>
                <w:p w:rsidR="00F62D43" w:rsidRPr="00D355BF" w:rsidRDefault="001E194B" w:rsidP="00074835">
                  <w:pPr>
                    <w:spacing w:before="40" w:after="40" w:line="240" w:lineRule="auto"/>
                    <w:jc w:val="center"/>
                    <w:rPr>
                      <w:rFonts w:eastAsia="Times New Roman" w:cs="Arial"/>
                      <w:color w:val="000000"/>
                    </w:rPr>
                  </w:pPr>
                  <w:r w:rsidRPr="00D355BF">
                    <w:rPr>
                      <w:rFonts w:eastAsia="Times New Roman" w:cs="Arial"/>
                      <w:color w:val="000000"/>
                    </w:rPr>
                    <w:t>Année</w:t>
                  </w:r>
                </w:p>
              </w:tc>
              <w:tc>
                <w:tcPr>
                  <w:tcW w:w="2673" w:type="dxa"/>
                  <w:vAlign w:val="center"/>
                  <w:hideMark/>
                </w:tcPr>
                <w:p w:rsidR="00F62D43" w:rsidRPr="00D355BF" w:rsidRDefault="001E194B" w:rsidP="00074835">
                  <w:pPr>
                    <w:spacing w:before="40" w:after="40" w:line="240" w:lineRule="auto"/>
                    <w:jc w:val="center"/>
                    <w:rPr>
                      <w:rFonts w:eastAsia="Times New Roman" w:cs="Arial"/>
                      <w:color w:val="000000"/>
                    </w:rPr>
                  </w:pPr>
                  <w:r>
                    <w:rPr>
                      <w:rFonts w:eastAsia="Times New Roman" w:cs="Arial"/>
                      <w:color w:val="000000"/>
                    </w:rPr>
                    <w:t>T</w:t>
                  </w:r>
                  <w:r w:rsidRPr="00D355BF">
                    <w:rPr>
                      <w:rFonts w:eastAsia="Times New Roman" w:cs="Arial"/>
                      <w:color w:val="000000"/>
                    </w:rPr>
                    <w:t>aux de natalité</w:t>
                  </w:r>
                  <w:r w:rsidRPr="00D355BF">
                    <w:rPr>
                      <w:rFonts w:eastAsia="Times New Roman" w:cs="Arial"/>
                      <w:color w:val="000000"/>
                    </w:rPr>
                    <w:br/>
                    <w:t>(pour mille)</w:t>
                  </w:r>
                </w:p>
              </w:tc>
              <w:tc>
                <w:tcPr>
                  <w:tcW w:w="2674" w:type="dxa"/>
                  <w:vAlign w:val="center"/>
                  <w:hideMark/>
                </w:tcPr>
                <w:p w:rsidR="00F62D43" w:rsidRPr="00D355BF" w:rsidRDefault="001E194B" w:rsidP="00074835">
                  <w:pPr>
                    <w:spacing w:before="40" w:after="40" w:line="240" w:lineRule="auto"/>
                    <w:jc w:val="center"/>
                    <w:rPr>
                      <w:rFonts w:eastAsia="Times New Roman" w:cs="Arial"/>
                      <w:color w:val="000000"/>
                    </w:rPr>
                  </w:pPr>
                  <w:r>
                    <w:rPr>
                      <w:rFonts w:eastAsia="Times New Roman" w:cs="Arial"/>
                      <w:color w:val="000000"/>
                    </w:rPr>
                    <w:t>T</w:t>
                  </w:r>
                  <w:r w:rsidRPr="00D355BF">
                    <w:rPr>
                      <w:rFonts w:eastAsia="Times New Roman" w:cs="Arial"/>
                      <w:color w:val="000000"/>
                    </w:rPr>
                    <w:t>aux de mortalité (pour mille)</w:t>
                  </w:r>
                </w:p>
              </w:tc>
              <w:tc>
                <w:tcPr>
                  <w:tcW w:w="2674" w:type="dxa"/>
                  <w:vAlign w:val="center"/>
                  <w:hideMark/>
                </w:tcPr>
                <w:p w:rsidR="00F62D43" w:rsidRPr="00D355BF" w:rsidRDefault="001E194B" w:rsidP="00074835">
                  <w:pPr>
                    <w:spacing w:before="40" w:after="40" w:line="240" w:lineRule="auto"/>
                    <w:jc w:val="center"/>
                    <w:rPr>
                      <w:rFonts w:eastAsia="Times New Roman" w:cs="Arial"/>
                      <w:color w:val="000000"/>
                    </w:rPr>
                  </w:pPr>
                  <w:r>
                    <w:rPr>
                      <w:rFonts w:eastAsia="Times New Roman" w:cs="Arial"/>
                      <w:color w:val="000000"/>
                    </w:rPr>
                    <w:t>T</w:t>
                  </w:r>
                  <w:r w:rsidRPr="00D355BF">
                    <w:rPr>
                      <w:rFonts w:eastAsia="Times New Roman" w:cs="Arial"/>
                      <w:color w:val="000000"/>
                    </w:rPr>
                    <w:t>a</w:t>
                  </w:r>
                  <w:r>
                    <w:rPr>
                      <w:rFonts w:eastAsia="Times New Roman" w:cs="Arial"/>
                      <w:color w:val="000000"/>
                    </w:rPr>
                    <w:t>ux d'accroissement</w:t>
                  </w:r>
                  <w:r>
                    <w:rPr>
                      <w:rFonts w:eastAsia="Times New Roman" w:cs="Arial"/>
                      <w:color w:val="000000"/>
                    </w:rPr>
                    <w:br/>
                    <w:t>annuel moyen</w:t>
                  </w:r>
                  <w:r>
                    <w:rPr>
                      <w:rFonts w:eastAsia="Times New Roman" w:cs="Arial"/>
                      <w:color w:val="000000"/>
                    </w:rPr>
                    <w:br/>
                  </w:r>
                  <w:r w:rsidRPr="00D355BF">
                    <w:rPr>
                      <w:rFonts w:eastAsia="Times New Roman" w:cs="Arial"/>
                      <w:color w:val="000000"/>
                    </w:rPr>
                    <w:t>(pour cent)</w:t>
                  </w:r>
                </w:p>
              </w:tc>
            </w:tr>
            <w:tr w:rsidR="00F62D43" w:rsidRPr="00D355BF" w:rsidTr="00E93EF6">
              <w:trPr>
                <w:trHeight w:val="284"/>
              </w:trPr>
              <w:tc>
                <w:tcPr>
                  <w:tcW w:w="910" w:type="dxa"/>
                  <w:vAlign w:val="center"/>
                  <w:hideMark/>
                </w:tcPr>
                <w:p w:rsidR="00F62D43" w:rsidRPr="00D355BF" w:rsidRDefault="001E194B" w:rsidP="00074835">
                  <w:pPr>
                    <w:spacing w:before="40" w:after="40" w:line="240" w:lineRule="auto"/>
                    <w:jc w:val="center"/>
                    <w:rPr>
                      <w:rFonts w:eastAsia="Times New Roman" w:cs="Arial"/>
                      <w:color w:val="000000"/>
                    </w:rPr>
                  </w:pPr>
                  <w:r w:rsidRPr="00D355BF">
                    <w:rPr>
                      <w:rFonts w:eastAsia="Times New Roman" w:cs="Arial"/>
                      <w:color w:val="000000"/>
                    </w:rPr>
                    <w:t>1950</w:t>
                  </w:r>
                </w:p>
              </w:tc>
              <w:tc>
                <w:tcPr>
                  <w:tcW w:w="2673" w:type="dxa"/>
                  <w:vAlign w:val="center"/>
                  <w:hideMark/>
                </w:tcPr>
                <w:p w:rsidR="00F62D43" w:rsidRPr="00D355BF" w:rsidRDefault="001E194B" w:rsidP="00074835">
                  <w:pPr>
                    <w:spacing w:before="40" w:after="40" w:line="240" w:lineRule="auto"/>
                    <w:jc w:val="center"/>
                    <w:rPr>
                      <w:rFonts w:eastAsia="Times New Roman" w:cs="Arial"/>
                      <w:color w:val="000000"/>
                    </w:rPr>
                  </w:pPr>
                  <w:r w:rsidRPr="00D355BF">
                    <w:rPr>
                      <w:rFonts w:eastAsia="Times New Roman" w:cs="Arial"/>
                      <w:color w:val="000000"/>
                    </w:rPr>
                    <w:t>43,3</w:t>
                  </w:r>
                </w:p>
              </w:tc>
              <w:tc>
                <w:tcPr>
                  <w:tcW w:w="2674" w:type="dxa"/>
                  <w:vAlign w:val="center"/>
                  <w:hideMark/>
                </w:tcPr>
                <w:p w:rsidR="00F62D43" w:rsidRPr="00D355BF" w:rsidRDefault="001E194B" w:rsidP="00074835">
                  <w:pPr>
                    <w:spacing w:before="40" w:after="40" w:line="240" w:lineRule="auto"/>
                    <w:jc w:val="center"/>
                    <w:rPr>
                      <w:rFonts w:eastAsia="Times New Roman" w:cs="Arial"/>
                      <w:color w:val="000000"/>
                    </w:rPr>
                  </w:pPr>
                  <w:r w:rsidRPr="00D355BF">
                    <w:rPr>
                      <w:rFonts w:eastAsia="Times New Roman" w:cs="Arial"/>
                      <w:color w:val="000000"/>
                    </w:rPr>
                    <w:t>20,3</w:t>
                  </w:r>
                </w:p>
              </w:tc>
              <w:tc>
                <w:tcPr>
                  <w:tcW w:w="2674" w:type="dxa"/>
                  <w:vAlign w:val="center"/>
                  <w:hideMark/>
                </w:tcPr>
                <w:p w:rsidR="00F62D43" w:rsidRPr="00D355BF" w:rsidRDefault="001E194B" w:rsidP="00074835">
                  <w:pPr>
                    <w:spacing w:before="40" w:after="40" w:line="240" w:lineRule="auto"/>
                    <w:jc w:val="center"/>
                    <w:rPr>
                      <w:rFonts w:eastAsia="Times New Roman" w:cs="Arial"/>
                      <w:color w:val="000000"/>
                    </w:rPr>
                  </w:pPr>
                  <w:r w:rsidRPr="00D355BF">
                    <w:rPr>
                      <w:rFonts w:eastAsia="Times New Roman" w:cs="Arial"/>
                      <w:color w:val="000000"/>
                    </w:rPr>
                    <w:t>2,3</w:t>
                  </w:r>
                </w:p>
              </w:tc>
            </w:tr>
            <w:tr w:rsidR="00F62D43" w:rsidRPr="00D355BF" w:rsidTr="00E93EF6">
              <w:trPr>
                <w:trHeight w:val="284"/>
              </w:trPr>
              <w:tc>
                <w:tcPr>
                  <w:tcW w:w="910" w:type="dxa"/>
                  <w:vAlign w:val="center"/>
                  <w:hideMark/>
                </w:tcPr>
                <w:p w:rsidR="00F62D43" w:rsidRPr="00D355BF" w:rsidRDefault="001E194B" w:rsidP="00074835">
                  <w:pPr>
                    <w:spacing w:before="40" w:after="40" w:line="240" w:lineRule="auto"/>
                    <w:jc w:val="center"/>
                    <w:rPr>
                      <w:rFonts w:eastAsia="Times New Roman" w:cs="Arial"/>
                      <w:color w:val="000000"/>
                    </w:rPr>
                  </w:pPr>
                  <w:r w:rsidRPr="00D355BF">
                    <w:rPr>
                      <w:rFonts w:eastAsia="Times New Roman" w:cs="Arial"/>
                      <w:color w:val="000000"/>
                    </w:rPr>
                    <w:t>1960</w:t>
                  </w:r>
                </w:p>
              </w:tc>
              <w:tc>
                <w:tcPr>
                  <w:tcW w:w="2673" w:type="dxa"/>
                  <w:vAlign w:val="center"/>
                  <w:hideMark/>
                </w:tcPr>
                <w:p w:rsidR="00F62D43" w:rsidRPr="00D355BF" w:rsidRDefault="001E194B" w:rsidP="00074835">
                  <w:pPr>
                    <w:spacing w:before="40" w:after="40" w:line="240" w:lineRule="auto"/>
                    <w:jc w:val="center"/>
                    <w:rPr>
                      <w:rFonts w:eastAsia="Times New Roman" w:cs="Arial"/>
                      <w:color w:val="000000"/>
                    </w:rPr>
                  </w:pPr>
                  <w:r w:rsidRPr="00D355BF">
                    <w:rPr>
                      <w:rFonts w:eastAsia="Times New Roman" w:cs="Arial"/>
                      <w:color w:val="000000"/>
                    </w:rPr>
                    <w:t>41,6</w:t>
                  </w:r>
                </w:p>
              </w:tc>
              <w:tc>
                <w:tcPr>
                  <w:tcW w:w="2674" w:type="dxa"/>
                  <w:vAlign w:val="center"/>
                  <w:hideMark/>
                </w:tcPr>
                <w:p w:rsidR="00F62D43" w:rsidRPr="00D355BF" w:rsidRDefault="001E194B" w:rsidP="00074835">
                  <w:pPr>
                    <w:spacing w:before="40" w:after="40" w:line="240" w:lineRule="auto"/>
                    <w:jc w:val="center"/>
                    <w:rPr>
                      <w:rFonts w:eastAsia="Times New Roman" w:cs="Arial"/>
                      <w:color w:val="000000"/>
                    </w:rPr>
                  </w:pPr>
                  <w:r w:rsidRPr="00D355BF">
                    <w:rPr>
                      <w:rFonts w:eastAsia="Times New Roman" w:cs="Arial"/>
                      <w:color w:val="000000"/>
                    </w:rPr>
                    <w:t>16,7</w:t>
                  </w:r>
                </w:p>
              </w:tc>
              <w:tc>
                <w:tcPr>
                  <w:tcW w:w="2674" w:type="dxa"/>
                  <w:vAlign w:val="center"/>
                  <w:hideMark/>
                </w:tcPr>
                <w:p w:rsidR="00F62D43" w:rsidRPr="00D355BF" w:rsidRDefault="001E194B" w:rsidP="00074835">
                  <w:pPr>
                    <w:spacing w:before="40" w:after="40" w:line="240" w:lineRule="auto"/>
                    <w:jc w:val="center"/>
                    <w:rPr>
                      <w:rFonts w:eastAsia="Times New Roman" w:cs="Arial"/>
                      <w:color w:val="000000"/>
                    </w:rPr>
                  </w:pPr>
                  <w:r w:rsidRPr="00D355BF">
                    <w:rPr>
                      <w:rFonts w:eastAsia="Times New Roman" w:cs="Arial"/>
                      <w:color w:val="000000"/>
                    </w:rPr>
                    <w:t>2,5</w:t>
                  </w:r>
                </w:p>
              </w:tc>
            </w:tr>
            <w:tr w:rsidR="00F62D43" w:rsidRPr="00D355BF" w:rsidTr="00E93EF6">
              <w:trPr>
                <w:trHeight w:val="284"/>
              </w:trPr>
              <w:tc>
                <w:tcPr>
                  <w:tcW w:w="910" w:type="dxa"/>
                  <w:vAlign w:val="center"/>
                  <w:hideMark/>
                </w:tcPr>
                <w:p w:rsidR="00F62D43" w:rsidRPr="00D355BF" w:rsidRDefault="001E194B" w:rsidP="00074835">
                  <w:pPr>
                    <w:spacing w:before="40" w:after="40" w:line="240" w:lineRule="auto"/>
                    <w:jc w:val="center"/>
                    <w:rPr>
                      <w:rFonts w:eastAsia="Times New Roman" w:cs="Arial"/>
                      <w:color w:val="000000"/>
                    </w:rPr>
                  </w:pPr>
                  <w:r w:rsidRPr="00D355BF">
                    <w:rPr>
                      <w:rFonts w:eastAsia="Times New Roman" w:cs="Arial"/>
                      <w:color w:val="000000"/>
                    </w:rPr>
                    <w:t>1970</w:t>
                  </w:r>
                </w:p>
              </w:tc>
              <w:tc>
                <w:tcPr>
                  <w:tcW w:w="2673" w:type="dxa"/>
                  <w:vAlign w:val="center"/>
                  <w:hideMark/>
                </w:tcPr>
                <w:p w:rsidR="00F62D43" w:rsidRPr="00D355BF" w:rsidRDefault="001E194B" w:rsidP="00074835">
                  <w:pPr>
                    <w:spacing w:before="40" w:after="40" w:line="240" w:lineRule="auto"/>
                    <w:jc w:val="center"/>
                    <w:rPr>
                      <w:rFonts w:eastAsia="Times New Roman" w:cs="Arial"/>
                      <w:color w:val="000000"/>
                    </w:rPr>
                  </w:pPr>
                  <w:r w:rsidRPr="00D355BF">
                    <w:rPr>
                      <w:rFonts w:eastAsia="Times New Roman" w:cs="Arial"/>
                      <w:color w:val="000000"/>
                    </w:rPr>
                    <w:t>37,1</w:t>
                  </w:r>
                </w:p>
              </w:tc>
              <w:tc>
                <w:tcPr>
                  <w:tcW w:w="2674" w:type="dxa"/>
                  <w:vAlign w:val="center"/>
                  <w:hideMark/>
                </w:tcPr>
                <w:p w:rsidR="00F62D43" w:rsidRPr="00D355BF" w:rsidRDefault="001E194B" w:rsidP="00074835">
                  <w:pPr>
                    <w:spacing w:before="40" w:after="40" w:line="240" w:lineRule="auto"/>
                    <w:jc w:val="center"/>
                    <w:rPr>
                      <w:rFonts w:eastAsia="Times New Roman" w:cs="Arial"/>
                      <w:color w:val="000000"/>
                    </w:rPr>
                  </w:pPr>
                  <w:r w:rsidRPr="00D355BF">
                    <w:rPr>
                      <w:rFonts w:eastAsia="Times New Roman" w:cs="Arial"/>
                      <w:color w:val="000000"/>
                    </w:rPr>
                    <w:t>13,1</w:t>
                  </w:r>
                </w:p>
              </w:tc>
              <w:tc>
                <w:tcPr>
                  <w:tcW w:w="2674" w:type="dxa"/>
                  <w:vAlign w:val="center"/>
                  <w:hideMark/>
                </w:tcPr>
                <w:p w:rsidR="00F62D43" w:rsidRPr="00D355BF" w:rsidRDefault="001E194B" w:rsidP="00074835">
                  <w:pPr>
                    <w:spacing w:before="40" w:after="40" w:line="240" w:lineRule="auto"/>
                    <w:jc w:val="center"/>
                    <w:rPr>
                      <w:rFonts w:eastAsia="Times New Roman" w:cs="Arial"/>
                      <w:color w:val="000000"/>
                    </w:rPr>
                  </w:pPr>
                  <w:r w:rsidRPr="00D355BF">
                    <w:rPr>
                      <w:rFonts w:eastAsia="Times New Roman" w:cs="Arial"/>
                      <w:color w:val="000000"/>
                    </w:rPr>
                    <w:t>2,4</w:t>
                  </w:r>
                </w:p>
              </w:tc>
            </w:tr>
            <w:tr w:rsidR="00F62D43" w:rsidRPr="00D355BF" w:rsidTr="00E93EF6">
              <w:trPr>
                <w:trHeight w:val="284"/>
              </w:trPr>
              <w:tc>
                <w:tcPr>
                  <w:tcW w:w="910" w:type="dxa"/>
                  <w:vAlign w:val="center"/>
                  <w:hideMark/>
                </w:tcPr>
                <w:p w:rsidR="00F62D43" w:rsidRPr="00D355BF" w:rsidRDefault="001E194B" w:rsidP="00074835">
                  <w:pPr>
                    <w:spacing w:before="40" w:after="40" w:line="240" w:lineRule="auto"/>
                    <w:jc w:val="center"/>
                    <w:rPr>
                      <w:rFonts w:eastAsia="Times New Roman" w:cs="Arial"/>
                      <w:color w:val="000000"/>
                    </w:rPr>
                  </w:pPr>
                  <w:r w:rsidRPr="00D355BF">
                    <w:rPr>
                      <w:rFonts w:eastAsia="Times New Roman" w:cs="Arial"/>
                      <w:color w:val="000000"/>
                    </w:rPr>
                    <w:t>1980</w:t>
                  </w:r>
                </w:p>
              </w:tc>
              <w:tc>
                <w:tcPr>
                  <w:tcW w:w="2673" w:type="dxa"/>
                  <w:vAlign w:val="center"/>
                  <w:hideMark/>
                </w:tcPr>
                <w:p w:rsidR="00F62D43" w:rsidRPr="00D355BF" w:rsidRDefault="001E194B" w:rsidP="00074835">
                  <w:pPr>
                    <w:spacing w:before="40" w:after="40" w:line="240" w:lineRule="auto"/>
                    <w:jc w:val="center"/>
                    <w:rPr>
                      <w:rFonts w:eastAsia="Times New Roman" w:cs="Arial"/>
                      <w:color w:val="000000"/>
                    </w:rPr>
                  </w:pPr>
                  <w:r w:rsidRPr="00D355BF">
                    <w:rPr>
                      <w:rFonts w:eastAsia="Times New Roman" w:cs="Arial"/>
                      <w:color w:val="000000"/>
                    </w:rPr>
                    <w:t>33,9</w:t>
                  </w:r>
                </w:p>
              </w:tc>
              <w:tc>
                <w:tcPr>
                  <w:tcW w:w="2674" w:type="dxa"/>
                  <w:vAlign w:val="center"/>
                  <w:hideMark/>
                </w:tcPr>
                <w:p w:rsidR="00F62D43" w:rsidRPr="00D355BF" w:rsidRDefault="001E194B" w:rsidP="00074835">
                  <w:pPr>
                    <w:spacing w:before="40" w:after="40" w:line="240" w:lineRule="auto"/>
                    <w:jc w:val="center"/>
                    <w:rPr>
                      <w:rFonts w:eastAsia="Times New Roman" w:cs="Arial"/>
                      <w:color w:val="000000"/>
                    </w:rPr>
                  </w:pPr>
                  <w:r w:rsidRPr="00D355BF">
                    <w:rPr>
                      <w:rFonts w:eastAsia="Times New Roman" w:cs="Arial"/>
                      <w:color w:val="000000"/>
                    </w:rPr>
                    <w:t>10,2</w:t>
                  </w:r>
                </w:p>
              </w:tc>
              <w:tc>
                <w:tcPr>
                  <w:tcW w:w="2674" w:type="dxa"/>
                  <w:vAlign w:val="center"/>
                  <w:hideMark/>
                </w:tcPr>
                <w:p w:rsidR="00F62D43" w:rsidRPr="00D355BF" w:rsidRDefault="001E194B" w:rsidP="00074835">
                  <w:pPr>
                    <w:spacing w:before="40" w:after="40" w:line="240" w:lineRule="auto"/>
                    <w:jc w:val="center"/>
                    <w:rPr>
                      <w:rFonts w:eastAsia="Times New Roman" w:cs="Arial"/>
                      <w:color w:val="000000"/>
                    </w:rPr>
                  </w:pPr>
                  <w:r w:rsidRPr="00D355BF">
                    <w:rPr>
                      <w:rFonts w:eastAsia="Times New Roman" w:cs="Arial"/>
                      <w:color w:val="000000"/>
                    </w:rPr>
                    <w:t>2,4</w:t>
                  </w:r>
                </w:p>
              </w:tc>
            </w:tr>
            <w:tr w:rsidR="00F62D43" w:rsidRPr="00D355BF" w:rsidTr="00E93EF6">
              <w:trPr>
                <w:trHeight w:val="284"/>
              </w:trPr>
              <w:tc>
                <w:tcPr>
                  <w:tcW w:w="910" w:type="dxa"/>
                  <w:vAlign w:val="center"/>
                  <w:hideMark/>
                </w:tcPr>
                <w:p w:rsidR="00F62D43" w:rsidRPr="00D355BF" w:rsidRDefault="001E194B" w:rsidP="00074835">
                  <w:pPr>
                    <w:spacing w:before="40" w:after="40" w:line="240" w:lineRule="auto"/>
                    <w:jc w:val="center"/>
                    <w:rPr>
                      <w:rFonts w:eastAsia="Times New Roman" w:cs="Arial"/>
                      <w:color w:val="000000"/>
                    </w:rPr>
                  </w:pPr>
                  <w:r w:rsidRPr="00D355BF">
                    <w:rPr>
                      <w:rFonts w:eastAsia="Times New Roman" w:cs="Arial"/>
                      <w:color w:val="000000"/>
                    </w:rPr>
                    <w:t>1990</w:t>
                  </w:r>
                </w:p>
              </w:tc>
              <w:tc>
                <w:tcPr>
                  <w:tcW w:w="2673" w:type="dxa"/>
                  <w:vAlign w:val="center"/>
                  <w:hideMark/>
                </w:tcPr>
                <w:p w:rsidR="00F62D43" w:rsidRPr="00D355BF" w:rsidRDefault="001E194B" w:rsidP="00074835">
                  <w:pPr>
                    <w:spacing w:before="40" w:after="40" w:line="240" w:lineRule="auto"/>
                    <w:jc w:val="center"/>
                    <w:rPr>
                      <w:rFonts w:eastAsia="Times New Roman" w:cs="Arial"/>
                      <w:color w:val="000000"/>
                    </w:rPr>
                  </w:pPr>
                  <w:r w:rsidRPr="00D355BF">
                    <w:rPr>
                      <w:rFonts w:eastAsia="Times New Roman" w:cs="Arial"/>
                      <w:color w:val="000000"/>
                    </w:rPr>
                    <w:t>28,3</w:t>
                  </w:r>
                </w:p>
              </w:tc>
              <w:tc>
                <w:tcPr>
                  <w:tcW w:w="2674" w:type="dxa"/>
                  <w:vAlign w:val="center"/>
                  <w:hideMark/>
                </w:tcPr>
                <w:p w:rsidR="00F62D43" w:rsidRPr="00D355BF" w:rsidRDefault="001E194B" w:rsidP="00074835">
                  <w:pPr>
                    <w:spacing w:before="40" w:after="40" w:line="240" w:lineRule="auto"/>
                    <w:jc w:val="center"/>
                    <w:rPr>
                      <w:rFonts w:eastAsia="Times New Roman" w:cs="Arial"/>
                      <w:color w:val="000000"/>
                    </w:rPr>
                  </w:pPr>
                  <w:r w:rsidRPr="00D355BF">
                    <w:rPr>
                      <w:rFonts w:eastAsia="Times New Roman" w:cs="Arial"/>
                      <w:color w:val="000000"/>
                    </w:rPr>
                    <w:t>8,1</w:t>
                  </w:r>
                </w:p>
              </w:tc>
              <w:tc>
                <w:tcPr>
                  <w:tcW w:w="2674" w:type="dxa"/>
                  <w:vAlign w:val="center"/>
                  <w:hideMark/>
                </w:tcPr>
                <w:p w:rsidR="00F62D43" w:rsidRPr="00D355BF" w:rsidRDefault="001E194B" w:rsidP="00074835">
                  <w:pPr>
                    <w:spacing w:before="40" w:after="40" w:line="240" w:lineRule="auto"/>
                    <w:jc w:val="center"/>
                    <w:rPr>
                      <w:rFonts w:eastAsia="Times New Roman" w:cs="Arial"/>
                      <w:color w:val="000000"/>
                    </w:rPr>
                  </w:pPr>
                  <w:r w:rsidRPr="00D355BF">
                    <w:rPr>
                      <w:rFonts w:eastAsia="Times New Roman" w:cs="Arial"/>
                      <w:color w:val="000000"/>
                    </w:rPr>
                    <w:t>2</w:t>
                  </w:r>
                </w:p>
              </w:tc>
            </w:tr>
            <w:tr w:rsidR="00F62D43" w:rsidRPr="00D355BF" w:rsidTr="00E93EF6">
              <w:trPr>
                <w:trHeight w:val="284"/>
              </w:trPr>
              <w:tc>
                <w:tcPr>
                  <w:tcW w:w="910" w:type="dxa"/>
                  <w:vAlign w:val="center"/>
                  <w:hideMark/>
                </w:tcPr>
                <w:p w:rsidR="00F62D43" w:rsidRPr="00D355BF" w:rsidRDefault="001E194B" w:rsidP="00074835">
                  <w:pPr>
                    <w:spacing w:before="40" w:after="40" w:line="240" w:lineRule="auto"/>
                    <w:jc w:val="center"/>
                    <w:rPr>
                      <w:rFonts w:eastAsia="Times New Roman" w:cs="Arial"/>
                      <w:color w:val="000000"/>
                    </w:rPr>
                  </w:pPr>
                  <w:r w:rsidRPr="00D355BF">
                    <w:rPr>
                      <w:rFonts w:eastAsia="Times New Roman" w:cs="Arial"/>
                      <w:color w:val="000000"/>
                    </w:rPr>
                    <w:t>2000</w:t>
                  </w:r>
                </w:p>
              </w:tc>
              <w:tc>
                <w:tcPr>
                  <w:tcW w:w="2673" w:type="dxa"/>
                  <w:vAlign w:val="center"/>
                  <w:hideMark/>
                </w:tcPr>
                <w:p w:rsidR="00F62D43" w:rsidRPr="00D355BF" w:rsidRDefault="001E194B" w:rsidP="00074835">
                  <w:pPr>
                    <w:spacing w:before="40" w:after="40" w:line="240" w:lineRule="auto"/>
                    <w:jc w:val="center"/>
                    <w:rPr>
                      <w:rFonts w:eastAsia="Times New Roman" w:cs="Arial"/>
                      <w:color w:val="000000"/>
                    </w:rPr>
                  </w:pPr>
                  <w:r w:rsidRPr="00D355BF">
                    <w:rPr>
                      <w:rFonts w:eastAsia="Times New Roman" w:cs="Arial"/>
                      <w:color w:val="000000"/>
                    </w:rPr>
                    <w:t>22,6</w:t>
                  </w:r>
                </w:p>
              </w:tc>
              <w:tc>
                <w:tcPr>
                  <w:tcW w:w="2674" w:type="dxa"/>
                  <w:vAlign w:val="center"/>
                  <w:hideMark/>
                </w:tcPr>
                <w:p w:rsidR="00F62D43" w:rsidRPr="00D355BF" w:rsidRDefault="001E194B" w:rsidP="00074835">
                  <w:pPr>
                    <w:spacing w:before="40" w:after="40" w:line="240" w:lineRule="auto"/>
                    <w:jc w:val="center"/>
                    <w:rPr>
                      <w:rFonts w:eastAsia="Times New Roman" w:cs="Arial"/>
                      <w:color w:val="000000"/>
                    </w:rPr>
                  </w:pPr>
                  <w:r w:rsidRPr="00D355BF">
                    <w:rPr>
                      <w:rFonts w:eastAsia="Times New Roman" w:cs="Arial"/>
                      <w:color w:val="000000"/>
                    </w:rPr>
                    <w:t>16,9</w:t>
                  </w:r>
                </w:p>
              </w:tc>
              <w:tc>
                <w:tcPr>
                  <w:tcW w:w="2674" w:type="dxa"/>
                  <w:vAlign w:val="center"/>
                  <w:hideMark/>
                </w:tcPr>
                <w:p w:rsidR="00F62D43" w:rsidRPr="00D355BF" w:rsidRDefault="001E194B" w:rsidP="00074835">
                  <w:pPr>
                    <w:spacing w:before="40" w:after="40" w:line="240" w:lineRule="auto"/>
                    <w:jc w:val="center"/>
                    <w:rPr>
                      <w:rFonts w:eastAsia="Times New Roman" w:cs="Arial"/>
                      <w:color w:val="000000"/>
                    </w:rPr>
                  </w:pPr>
                  <w:r w:rsidRPr="00D355BF">
                    <w:rPr>
                      <w:rFonts w:eastAsia="Times New Roman" w:cs="Arial"/>
                      <w:color w:val="000000"/>
                    </w:rPr>
                    <w:t>0,6</w:t>
                  </w:r>
                </w:p>
              </w:tc>
            </w:tr>
          </w:tbl>
          <w:p w:rsidR="00F62D43" w:rsidRDefault="001E194B" w:rsidP="007A6348">
            <w:pPr>
              <w:spacing w:before="120" w:after="120"/>
              <w:jc w:val="right"/>
            </w:pPr>
            <w:r>
              <w:rPr>
                <w:i/>
                <w:sz w:val="18"/>
                <w:szCs w:val="18"/>
              </w:rPr>
              <w:t xml:space="preserve">                                            Source : d</w:t>
            </w:r>
            <w:r w:rsidRPr="005603B4">
              <w:rPr>
                <w:i/>
                <w:sz w:val="18"/>
                <w:szCs w:val="18"/>
              </w:rPr>
              <w:t>’après World population prospects</w:t>
            </w:r>
          </w:p>
        </w:tc>
      </w:tr>
    </w:tbl>
    <w:p w:rsidR="007A0DE3" w:rsidRDefault="001E194B"/>
    <w:tbl>
      <w:tblPr>
        <w:tblStyle w:val="Grilledutableau"/>
        <w:tblW w:w="9123" w:type="dxa"/>
        <w:jc w:val="center"/>
        <w:tblLook w:val="04A0" w:firstRow="1" w:lastRow="0" w:firstColumn="1" w:lastColumn="0" w:noHBand="0" w:noVBand="1"/>
      </w:tblPr>
      <w:tblGrid>
        <w:gridCol w:w="9123"/>
      </w:tblGrid>
      <w:tr w:rsidR="00F62D43" w:rsidTr="007A0DE3">
        <w:trPr>
          <w:jc w:val="center"/>
        </w:trPr>
        <w:tc>
          <w:tcPr>
            <w:tcW w:w="9123" w:type="dxa"/>
          </w:tcPr>
          <w:p w:rsidR="000061A2" w:rsidRDefault="001E194B" w:rsidP="007A6348">
            <w:pPr>
              <w:spacing w:before="120" w:after="200"/>
            </w:pPr>
            <w:r w:rsidRPr="002B0602">
              <w:rPr>
                <w:b/>
                <w:u w:val="single"/>
              </w:rPr>
              <w:t>Doc</w:t>
            </w:r>
            <w:r>
              <w:rPr>
                <w:b/>
                <w:u w:val="single"/>
              </w:rPr>
              <w:t>ument</w:t>
            </w:r>
            <w:r w:rsidRPr="002B0602">
              <w:rPr>
                <w:b/>
                <w:u w:val="single"/>
              </w:rPr>
              <w:t xml:space="preserve"> 3</w:t>
            </w:r>
            <w:r w:rsidRPr="00D355BF">
              <w:rPr>
                <w:b/>
              </w:rPr>
              <w:t> :</w:t>
            </w:r>
            <w:r>
              <w:t xml:space="preserve"> </w:t>
            </w:r>
            <w:r w:rsidRPr="006E3913">
              <w:rPr>
                <w:b/>
                <w:bCs/>
              </w:rPr>
              <w:t>la démographie dans différents pays d’Afrique sub-saharienne</w:t>
            </w:r>
            <w:r>
              <w:t xml:space="preserve"> </w:t>
            </w:r>
          </w:p>
          <w:p w:rsidR="00F62D43" w:rsidRPr="007A0DE3" w:rsidRDefault="001E194B" w:rsidP="007A6348">
            <w:pPr>
              <w:spacing w:after="120"/>
              <w:jc w:val="both"/>
              <w:rPr>
                <w:rFonts w:cs="Arial"/>
                <w:shd w:val="clear" w:color="auto" w:fill="FAFAFA"/>
              </w:rPr>
            </w:pPr>
            <w:r w:rsidRPr="007A0DE3">
              <w:rPr>
                <w:rFonts w:cs="Arial"/>
                <w:shd w:val="clear" w:color="auto" w:fill="FAFAFA"/>
              </w:rPr>
              <w:t>Depuis 1990, l’Afrique sub-saharienne, globalement, est entrée dans une phase de ralentissement démographique, passant de 2,9 % de croissance par an vers 1985 à 2,3 % en 2000.</w:t>
            </w:r>
          </w:p>
          <w:p w:rsidR="00F62D43" w:rsidRPr="007A0DE3" w:rsidRDefault="001E194B" w:rsidP="007A6348">
            <w:pPr>
              <w:spacing w:after="120"/>
              <w:jc w:val="both"/>
              <w:rPr>
                <w:rFonts w:cs="Arial"/>
                <w:shd w:val="clear" w:color="auto" w:fill="FAFAFA"/>
              </w:rPr>
            </w:pPr>
            <w:r w:rsidRPr="007A0DE3">
              <w:rPr>
                <w:rFonts w:cs="Arial"/>
                <w:shd w:val="clear" w:color="auto" w:fill="FAFAFA"/>
              </w:rPr>
              <w:t>Mais ce ralentissement se fait à des rythmes variables, et même divergents entre</w:t>
            </w:r>
            <w:r w:rsidRPr="007A0DE3">
              <w:rPr>
                <w:rFonts w:cs="Arial"/>
                <w:shd w:val="clear" w:color="auto" w:fill="FAFAFA"/>
              </w:rPr>
              <w:t xml:space="preserve"> les pays.</w:t>
            </w:r>
          </w:p>
          <w:p w:rsidR="00244673" w:rsidRPr="007A0DE3" w:rsidRDefault="001E194B" w:rsidP="007A6348">
            <w:pPr>
              <w:spacing w:after="120"/>
              <w:jc w:val="both"/>
              <w:rPr>
                <w:rFonts w:cs="Arial"/>
                <w:i/>
                <w:shd w:val="clear" w:color="auto" w:fill="FAFAFA"/>
              </w:rPr>
            </w:pPr>
            <w:r w:rsidRPr="007A0DE3">
              <w:rPr>
                <w:rFonts w:cs="Arial"/>
                <w:shd w:val="clear" w:color="auto" w:fill="FAFAFA"/>
              </w:rPr>
              <w:t>À un extrême, on trouve une petite vingtaine de pays, de différentes sous-régions, dont les croissances n’ont pas changé ou même ont légèrement augmenté depuis 1985 (le Niger, le Mali, le Mozambique, la Somalie, etc.) ; à l’autre extrême, les ci</w:t>
            </w:r>
            <w:r w:rsidRPr="007A0DE3">
              <w:rPr>
                <w:rFonts w:cs="Arial"/>
                <w:shd w:val="clear" w:color="auto" w:fill="FAFAFA"/>
              </w:rPr>
              <w:t xml:space="preserve">nq pays d’Afrique australe, le Zimbabwe et la Zambie dont les taux de croissance s’effondrent littéralement à partir de 1995 avec la surmortalité due au SIDA[…] : l’Afrique du Sud et le Botswana par exemple passent respectivement d’une croissance de 2,0 % </w:t>
            </w:r>
            <w:r w:rsidRPr="007A0DE3">
              <w:rPr>
                <w:rFonts w:cs="Arial"/>
                <w:shd w:val="clear" w:color="auto" w:fill="FAFAFA"/>
              </w:rPr>
              <w:t>et 2,8 % en 1990-1994 à 0,6 % et 0,9 % dix ans plus tard. C’est un exemple unique dans l’histoire.</w:t>
            </w:r>
          </w:p>
          <w:p w:rsidR="00F62D43" w:rsidRPr="00B44B25" w:rsidRDefault="001E194B" w:rsidP="007A6348">
            <w:pPr>
              <w:spacing w:before="120" w:after="120"/>
              <w:jc w:val="right"/>
              <w:rPr>
                <w:rFonts w:cs="Arial"/>
                <w:color w:val="323232"/>
                <w:shd w:val="clear" w:color="auto" w:fill="FAFAFA"/>
              </w:rPr>
            </w:pPr>
            <w:r w:rsidRPr="007A0DE3">
              <w:rPr>
                <w:rFonts w:cs="Arial"/>
                <w:i/>
                <w:sz w:val="20"/>
                <w:szCs w:val="16"/>
                <w:shd w:val="clear" w:color="auto" w:fill="FAFAFA"/>
              </w:rPr>
              <w:t xml:space="preserve"> </w:t>
            </w:r>
            <w:r w:rsidRPr="007A0DE3">
              <w:rPr>
                <w:rFonts w:cs="Arial"/>
                <w:i/>
                <w:sz w:val="18"/>
                <w:szCs w:val="16"/>
                <w:shd w:val="clear" w:color="auto" w:fill="FAFAFA"/>
              </w:rPr>
              <w:t xml:space="preserve">Source : d’après Tabutin-Schoumaker, « la démographie de l’Afrique au sud du Sahara des années 1950 aux années 2000 », Population, 2004, </w:t>
            </w:r>
            <w:r w:rsidRPr="007A0DE3">
              <w:rPr>
                <w:rFonts w:cs="Arial"/>
                <w:sz w:val="18"/>
                <w:szCs w:val="16"/>
                <w:shd w:val="clear" w:color="auto" w:fill="FFFFFF"/>
              </w:rPr>
              <w:t>www.cairn-int.info/</w:t>
            </w:r>
            <w:r w:rsidRPr="007A0DE3">
              <w:rPr>
                <w:rFonts w:cs="Arial"/>
                <w:sz w:val="18"/>
                <w:szCs w:val="16"/>
                <w:shd w:val="clear" w:color="auto" w:fill="FFFFFF"/>
              </w:rPr>
              <w:t>revue-population-2004-3-page-521.htm</w:t>
            </w:r>
            <w:r w:rsidRPr="007A0DE3">
              <w:rPr>
                <w:rFonts w:cs="Arial"/>
                <w:i/>
                <w:sz w:val="16"/>
                <w:szCs w:val="16"/>
                <w:shd w:val="clear" w:color="auto" w:fill="FAFAFA"/>
              </w:rPr>
              <w:t xml:space="preserve">                                                                                                                                                                                                </w:t>
            </w:r>
            <w:r w:rsidRPr="007A0DE3">
              <w:rPr>
                <w:rFonts w:eastAsia="Times New Roman" w:cs="Arial"/>
                <w:bCs/>
                <w:sz w:val="16"/>
                <w:szCs w:val="16"/>
              </w:rPr>
              <w:t xml:space="preserve">                            </w:t>
            </w:r>
            <w:r w:rsidRPr="007A0DE3">
              <w:rPr>
                <w:rFonts w:eastAsia="Times New Roman" w:cs="Arial"/>
                <w:bCs/>
                <w:sz w:val="16"/>
                <w:szCs w:val="16"/>
              </w:rPr>
              <w:t xml:space="preserve">                                             </w:t>
            </w:r>
            <w:r w:rsidRPr="007A0DE3">
              <w:rPr>
                <w:rFonts w:cs="Arial"/>
                <w:sz w:val="16"/>
                <w:szCs w:val="16"/>
                <w:shd w:val="clear" w:color="auto" w:fill="FFFFFF"/>
              </w:rPr>
              <w:t xml:space="preserve">                                                                                                                                                                                                                   </w:t>
            </w:r>
            <w:r w:rsidRPr="007A0DE3">
              <w:rPr>
                <w:rFonts w:cs="Arial"/>
                <w:sz w:val="16"/>
                <w:szCs w:val="16"/>
                <w:shd w:val="clear" w:color="auto" w:fill="FFFFFF"/>
              </w:rPr>
              <w:t xml:space="preserve">                                                            </w:t>
            </w:r>
          </w:p>
        </w:tc>
      </w:tr>
    </w:tbl>
    <w:p w:rsidR="00F62D43" w:rsidRDefault="001E194B" w:rsidP="007A6348">
      <w:pPr>
        <w:spacing w:after="0"/>
      </w:pPr>
    </w:p>
    <w:p w:rsidR="00074835" w:rsidRDefault="001E194B">
      <w:pPr>
        <w:spacing w:after="0" w:line="240" w:lineRule="auto"/>
        <w:rPr>
          <w:rFonts w:cs="Arial"/>
          <w:lang w:eastAsia="en-US"/>
        </w:rPr>
      </w:pPr>
      <w:r>
        <w:rPr>
          <w:rFonts w:cs="Arial"/>
        </w:rPr>
        <w:br w:type="page"/>
      </w:r>
    </w:p>
    <w:p w:rsidR="00F62D43" w:rsidRPr="00B44B25" w:rsidRDefault="001E194B" w:rsidP="007A6348">
      <w:pPr>
        <w:pStyle w:val="Paragraphedeliste"/>
        <w:spacing w:after="120"/>
        <w:ind w:left="0"/>
        <w:contextualSpacing w:val="0"/>
        <w:jc w:val="both"/>
        <w:rPr>
          <w:rFonts w:ascii="Arial" w:hAnsi="Arial" w:cs="Arial"/>
          <w:sz w:val="24"/>
          <w:szCs w:val="24"/>
        </w:rPr>
      </w:pPr>
      <w:r w:rsidRPr="00B44B25">
        <w:rPr>
          <w:rFonts w:ascii="Arial" w:hAnsi="Arial" w:cs="Arial"/>
          <w:sz w:val="24"/>
          <w:szCs w:val="24"/>
        </w:rPr>
        <w:lastRenderedPageBreak/>
        <w:t>En 1950, l’Afrique du Sud est peuplée de 13,6 millions d’habitants. Entre 1950 et 1990, on a constaté que la population sud-africaine a augmenté en moyenne, d’une année sur l’autre, de 2,5</w:t>
      </w:r>
      <w:r>
        <w:rPr>
          <w:rFonts w:ascii="Arial" w:hAnsi="Arial" w:cs="Arial"/>
          <w:sz w:val="24"/>
          <w:szCs w:val="24"/>
        </w:rPr>
        <w:t> </w:t>
      </w:r>
      <w:r w:rsidRPr="00B44B25">
        <w:rPr>
          <w:rFonts w:ascii="Arial" w:hAnsi="Arial" w:cs="Arial"/>
          <w:sz w:val="24"/>
          <w:szCs w:val="24"/>
        </w:rPr>
        <w:t>%.</w:t>
      </w:r>
    </w:p>
    <w:p w:rsidR="00F62D43" w:rsidRPr="00230966" w:rsidRDefault="001E194B" w:rsidP="007A6348">
      <w:pPr>
        <w:pStyle w:val="Paragraphedeliste"/>
        <w:spacing w:after="0"/>
        <w:ind w:left="0"/>
        <w:jc w:val="both"/>
        <w:rPr>
          <w:rFonts w:ascii="Arial" w:hAnsi="Arial" w:cs="Arial"/>
          <w:sz w:val="24"/>
          <w:szCs w:val="24"/>
        </w:rPr>
      </w:pPr>
      <w:r w:rsidRPr="00230966">
        <w:rPr>
          <w:rFonts w:ascii="Arial" w:hAnsi="Arial" w:cs="Arial"/>
          <w:sz w:val="24"/>
          <w:szCs w:val="24"/>
        </w:rPr>
        <w:t xml:space="preserve">On modélise la population sud-africaine à l’aide d’une suite </w:t>
      </w:r>
      <w:r w:rsidRPr="00230966">
        <w:rPr>
          <w:rFonts w:ascii="Arial" w:hAnsi="Arial" w:cs="Arial"/>
          <w:i/>
          <w:sz w:val="24"/>
          <w:szCs w:val="24"/>
        </w:rPr>
        <w:t>u</w:t>
      </w:r>
      <w:r w:rsidRPr="00230966">
        <w:rPr>
          <w:rFonts w:ascii="Arial" w:hAnsi="Arial" w:cs="Arial"/>
          <w:sz w:val="24"/>
          <w:szCs w:val="24"/>
        </w:rPr>
        <w:t>.</w:t>
      </w:r>
      <w:r>
        <w:rPr>
          <w:rFonts w:ascii="Arial" w:hAnsi="Arial" w:cs="Arial"/>
          <w:sz w:val="24"/>
          <w:szCs w:val="24"/>
        </w:rPr>
        <w:t xml:space="preserve"> </w:t>
      </w:r>
      <w:r w:rsidRPr="00230966">
        <w:rPr>
          <w:rFonts w:ascii="Arial" w:hAnsi="Arial" w:cs="Arial"/>
          <w:sz w:val="24"/>
          <w:szCs w:val="24"/>
        </w:rPr>
        <w:t xml:space="preserve">On note </w:t>
      </w:r>
      <w:r w:rsidRPr="00230966">
        <w:rPr>
          <w:rFonts w:ascii="Arial" w:hAnsi="Arial" w:cs="Arial"/>
          <w:i/>
          <w:sz w:val="24"/>
          <w:szCs w:val="24"/>
        </w:rPr>
        <w:t>u</w:t>
      </w:r>
      <w:r w:rsidRPr="00230966">
        <w:rPr>
          <w:rFonts w:ascii="Arial" w:hAnsi="Arial" w:cs="Arial"/>
          <w:sz w:val="24"/>
          <w:szCs w:val="24"/>
        </w:rPr>
        <w:t xml:space="preserve">(0)  le nombre d’habitants en Afrique du Sud en 1950 et </w:t>
      </w:r>
      <w:r w:rsidRPr="00230966">
        <w:rPr>
          <w:rFonts w:ascii="Arial" w:hAnsi="Arial" w:cs="Arial"/>
          <w:i/>
          <w:sz w:val="24"/>
          <w:szCs w:val="24"/>
        </w:rPr>
        <w:t>u</w:t>
      </w:r>
      <w:r w:rsidRPr="00230966">
        <w:rPr>
          <w:rFonts w:ascii="Arial" w:hAnsi="Arial" w:cs="Arial"/>
          <w:sz w:val="24"/>
          <w:szCs w:val="24"/>
        </w:rPr>
        <w:t>(</w:t>
      </w:r>
      <w:r w:rsidRPr="00230966">
        <w:rPr>
          <w:rFonts w:ascii="Arial" w:hAnsi="Arial" w:cs="Arial"/>
          <w:i/>
          <w:sz w:val="24"/>
          <w:szCs w:val="24"/>
        </w:rPr>
        <w:t>n</w:t>
      </w:r>
      <w:r w:rsidRPr="00230966">
        <w:rPr>
          <w:rFonts w:ascii="Arial" w:hAnsi="Arial" w:cs="Arial"/>
          <w:sz w:val="24"/>
          <w:szCs w:val="24"/>
        </w:rPr>
        <w:t xml:space="preserve">) la population d’Afrique du Sud </w:t>
      </w:r>
      <w:r w:rsidRPr="00230966">
        <w:rPr>
          <w:rFonts w:ascii="Arial" w:hAnsi="Arial" w:cs="Arial"/>
          <w:i/>
          <w:sz w:val="24"/>
          <w:szCs w:val="24"/>
        </w:rPr>
        <w:t>n</w:t>
      </w:r>
      <w:r w:rsidRPr="00230966">
        <w:rPr>
          <w:rFonts w:ascii="Arial" w:hAnsi="Arial" w:cs="Arial"/>
          <w:sz w:val="24"/>
          <w:szCs w:val="24"/>
        </w:rPr>
        <w:t xml:space="preserve"> années après 1950. Ainsi</w:t>
      </w:r>
      <w:r>
        <w:rPr>
          <w:rFonts w:ascii="Arial" w:hAnsi="Arial" w:cs="Arial"/>
          <w:sz w:val="24"/>
          <w:szCs w:val="24"/>
        </w:rPr>
        <w:t>,</w:t>
      </w:r>
      <w:r w:rsidRPr="00230966">
        <w:rPr>
          <w:rFonts w:ascii="Arial" w:hAnsi="Arial" w:cs="Arial"/>
          <w:sz w:val="24"/>
          <w:szCs w:val="24"/>
        </w:rPr>
        <w:t xml:space="preserve"> </w:t>
      </w:r>
      <w:r w:rsidRPr="00230966">
        <w:rPr>
          <w:rFonts w:ascii="Arial" w:hAnsi="Arial" w:cs="Arial"/>
          <w:i/>
          <w:sz w:val="24"/>
          <w:szCs w:val="24"/>
        </w:rPr>
        <w:t>u</w:t>
      </w:r>
      <w:r w:rsidRPr="00230966">
        <w:rPr>
          <w:rFonts w:ascii="Arial" w:hAnsi="Arial" w:cs="Arial"/>
          <w:sz w:val="24"/>
          <w:szCs w:val="24"/>
        </w:rPr>
        <w:t>(1) est le nombre d’habitants en 1951.</w:t>
      </w:r>
    </w:p>
    <w:p w:rsidR="00244673" w:rsidRPr="00230966" w:rsidRDefault="001E194B" w:rsidP="007A6348">
      <w:pPr>
        <w:pStyle w:val="Paragraphedeliste"/>
        <w:spacing w:after="0"/>
        <w:ind w:left="0"/>
        <w:rPr>
          <w:rFonts w:ascii="Arial" w:hAnsi="Arial" w:cs="Arial"/>
          <w:sz w:val="24"/>
          <w:szCs w:val="24"/>
        </w:rPr>
      </w:pPr>
    </w:p>
    <w:p w:rsidR="00D355BF" w:rsidRPr="006E3913" w:rsidRDefault="001E194B" w:rsidP="007A6348">
      <w:pPr>
        <w:spacing w:after="0"/>
        <w:jc w:val="both"/>
        <w:rPr>
          <w:rFonts w:cs="Arial"/>
        </w:rPr>
      </w:pPr>
      <w:r w:rsidRPr="006E3913">
        <w:rPr>
          <w:rFonts w:cs="Arial"/>
          <w:b/>
          <w:bCs/>
        </w:rPr>
        <w:t>1-</w:t>
      </w:r>
      <w:r>
        <w:rPr>
          <w:rFonts w:cs="Arial"/>
        </w:rPr>
        <w:t xml:space="preserve"> </w:t>
      </w:r>
      <w:r w:rsidRPr="006E3913">
        <w:rPr>
          <w:rFonts w:cs="Arial"/>
        </w:rPr>
        <w:t>Ju</w:t>
      </w:r>
      <w:r>
        <w:rPr>
          <w:rFonts w:cs="Arial"/>
        </w:rPr>
        <w:t>stifier que l’on</w:t>
      </w:r>
      <w:r>
        <w:rPr>
          <w:rFonts w:cs="Arial"/>
        </w:rPr>
        <w:t xml:space="preserve"> a la relation</w:t>
      </w:r>
      <w:r w:rsidRPr="006E3913">
        <w:rPr>
          <w:rFonts w:cs="Arial"/>
        </w:rPr>
        <w:t xml:space="preserve"> </w:t>
      </w:r>
      <w:r w:rsidRPr="006E3913">
        <w:rPr>
          <w:rFonts w:cs="Arial"/>
          <w:i/>
        </w:rPr>
        <w:t>u</w:t>
      </w:r>
      <w:r w:rsidRPr="006E3913">
        <w:rPr>
          <w:rFonts w:cs="Arial"/>
        </w:rPr>
        <w:t>(</w:t>
      </w:r>
      <w:r w:rsidRPr="006E3913">
        <w:rPr>
          <w:rFonts w:cs="Arial"/>
          <w:i/>
        </w:rPr>
        <w:t>n</w:t>
      </w:r>
      <w:r w:rsidRPr="006E3913">
        <w:rPr>
          <w:rFonts w:cs="Arial"/>
        </w:rPr>
        <w:t>+1) = 1,025</w:t>
      </w:r>
      <w:r>
        <w:rPr>
          <w:rFonts w:cs="Arial"/>
        </w:rPr>
        <w:t> </w:t>
      </w:r>
      <w:r w:rsidRPr="006E3913">
        <w:rPr>
          <w:rFonts w:cs="Arial"/>
        </w:rPr>
        <w:t>×</w:t>
      </w:r>
      <w:r>
        <w:rPr>
          <w:rFonts w:cs="Arial"/>
        </w:rPr>
        <w:t> </w:t>
      </w:r>
      <w:r w:rsidRPr="006E3913">
        <w:rPr>
          <w:rFonts w:cs="Arial"/>
          <w:i/>
        </w:rPr>
        <w:t>u</w:t>
      </w:r>
      <w:r w:rsidRPr="006E3913">
        <w:rPr>
          <w:rFonts w:cs="Arial"/>
        </w:rPr>
        <w:t>(</w:t>
      </w:r>
      <w:r w:rsidRPr="006E3913">
        <w:rPr>
          <w:rFonts w:cs="Arial"/>
          <w:i/>
        </w:rPr>
        <w:t>n</w:t>
      </w:r>
      <w:r w:rsidRPr="006E3913">
        <w:rPr>
          <w:rFonts w:cs="Arial"/>
        </w:rPr>
        <w:t xml:space="preserve">) pour </w:t>
      </w:r>
      <w:r w:rsidRPr="006E3913">
        <w:rPr>
          <w:rFonts w:cs="Arial"/>
          <w:i/>
        </w:rPr>
        <w:t>n</w:t>
      </w:r>
      <w:r w:rsidRPr="006E3913">
        <w:rPr>
          <w:rFonts w:cs="Arial"/>
        </w:rPr>
        <w:t xml:space="preserve"> entier naturel.</w:t>
      </w:r>
    </w:p>
    <w:p w:rsidR="00D355BF" w:rsidRPr="00230966" w:rsidRDefault="001E194B" w:rsidP="007A6348">
      <w:pPr>
        <w:pStyle w:val="Paragraphedeliste"/>
        <w:spacing w:after="0"/>
        <w:ind w:left="0"/>
        <w:jc w:val="both"/>
        <w:rPr>
          <w:rFonts w:ascii="Arial" w:hAnsi="Arial" w:cs="Arial"/>
          <w:sz w:val="24"/>
          <w:szCs w:val="24"/>
        </w:rPr>
      </w:pPr>
    </w:p>
    <w:p w:rsidR="00230966" w:rsidRDefault="001E194B" w:rsidP="007A6348">
      <w:pPr>
        <w:spacing w:after="0"/>
        <w:jc w:val="both"/>
        <w:rPr>
          <w:rFonts w:cs="Arial"/>
        </w:rPr>
      </w:pPr>
      <w:r w:rsidRPr="006E3913">
        <w:rPr>
          <w:rFonts w:cs="Arial"/>
          <w:b/>
          <w:bCs/>
        </w:rPr>
        <w:t>2-</w:t>
      </w:r>
      <w:r>
        <w:rPr>
          <w:rFonts w:cs="Arial"/>
        </w:rPr>
        <w:t xml:space="preserve"> </w:t>
      </w:r>
      <w:r w:rsidRPr="006E3913">
        <w:rPr>
          <w:rFonts w:cs="Arial"/>
        </w:rPr>
        <w:t>Vérifier qu’à l’aide de ce modèle, la population sud-africaine en 1951 est estimée à environ 13,9 millions d’habitants.</w:t>
      </w:r>
    </w:p>
    <w:p w:rsidR="00B44B25" w:rsidRPr="00B44B25" w:rsidRDefault="001E194B" w:rsidP="007A6348">
      <w:pPr>
        <w:spacing w:after="0"/>
        <w:jc w:val="both"/>
        <w:rPr>
          <w:rFonts w:cs="Arial"/>
        </w:rPr>
      </w:pPr>
    </w:p>
    <w:p w:rsidR="00230966" w:rsidRPr="00230966" w:rsidRDefault="001E194B" w:rsidP="007A6348">
      <w:pPr>
        <w:spacing w:after="0"/>
        <w:jc w:val="both"/>
        <w:rPr>
          <w:rFonts w:eastAsiaTheme="minorHAnsi" w:cs="Arial"/>
        </w:rPr>
      </w:pPr>
      <w:r w:rsidRPr="006E3913">
        <w:rPr>
          <w:rFonts w:eastAsiaTheme="minorEastAsia" w:cs="Arial"/>
          <w:b/>
          <w:bCs/>
        </w:rPr>
        <w:t>3-</w:t>
      </w:r>
      <w:r>
        <w:rPr>
          <w:rFonts w:eastAsiaTheme="minorEastAsia" w:cs="Arial"/>
        </w:rPr>
        <w:t xml:space="preserve"> </w:t>
      </w:r>
      <w:r w:rsidRPr="006E3913">
        <w:rPr>
          <w:rFonts w:eastAsiaTheme="minorEastAsia" w:cs="Arial"/>
        </w:rPr>
        <w:t>À l’aide de ce modèle, estimer le nombre d’habitants en 1995 et comp</w:t>
      </w:r>
      <w:r w:rsidRPr="006E3913">
        <w:rPr>
          <w:rFonts w:eastAsiaTheme="minorEastAsia" w:cs="Arial"/>
        </w:rPr>
        <w:t xml:space="preserve">arer avec la valeur donnée sur le document 1. </w:t>
      </w:r>
      <w:r>
        <w:rPr>
          <w:rFonts w:cs="Arial"/>
        </w:rPr>
        <w:t>Indiquer si la</w:t>
      </w:r>
      <w:r w:rsidRPr="00230966">
        <w:rPr>
          <w:rFonts w:cs="Arial"/>
        </w:rPr>
        <w:t xml:space="preserve"> modélisation de </w:t>
      </w:r>
      <w:r>
        <w:rPr>
          <w:rFonts w:cs="Arial"/>
        </w:rPr>
        <w:t>la variation</w:t>
      </w:r>
      <w:r w:rsidRPr="00230966">
        <w:rPr>
          <w:rFonts w:cs="Arial"/>
        </w:rPr>
        <w:t xml:space="preserve"> de la population sud-africaine semble satisfaisante</w:t>
      </w:r>
      <w:r>
        <w:rPr>
          <w:rFonts w:cs="Arial"/>
        </w:rPr>
        <w:t xml:space="preserve"> et justifier la réponse.</w:t>
      </w:r>
    </w:p>
    <w:p w:rsidR="00230966" w:rsidRPr="00230966" w:rsidRDefault="001E194B" w:rsidP="007A6348">
      <w:pPr>
        <w:pStyle w:val="Paragraphedeliste"/>
        <w:spacing w:after="0"/>
        <w:ind w:left="0"/>
        <w:jc w:val="both"/>
        <w:rPr>
          <w:rFonts w:ascii="Arial" w:hAnsi="Arial" w:cs="Arial"/>
          <w:sz w:val="24"/>
          <w:szCs w:val="24"/>
        </w:rPr>
      </w:pPr>
    </w:p>
    <w:p w:rsidR="00230966" w:rsidRPr="006E3913" w:rsidRDefault="001E194B" w:rsidP="007A6348">
      <w:pPr>
        <w:spacing w:after="0"/>
        <w:jc w:val="both"/>
        <w:rPr>
          <w:rFonts w:cs="Arial"/>
        </w:rPr>
      </w:pPr>
      <w:r w:rsidRPr="006E3913">
        <w:rPr>
          <w:rFonts w:cs="Arial"/>
          <w:b/>
          <w:bCs/>
        </w:rPr>
        <w:t>4-</w:t>
      </w:r>
      <w:r>
        <w:rPr>
          <w:rFonts w:cs="Arial"/>
        </w:rPr>
        <w:t xml:space="preserve"> </w:t>
      </w:r>
      <w:r w:rsidRPr="006E3913">
        <w:rPr>
          <w:rFonts w:cs="Arial"/>
        </w:rPr>
        <w:t xml:space="preserve">Selon ce modèle, </w:t>
      </w:r>
      <w:r>
        <w:rPr>
          <w:rFonts w:cs="Arial"/>
        </w:rPr>
        <w:t xml:space="preserve">indiquer </w:t>
      </w:r>
      <w:r w:rsidRPr="006E3913">
        <w:rPr>
          <w:rFonts w:cs="Arial"/>
        </w:rPr>
        <w:t>à partir de quelle année la population d’Afrique du sud dép</w:t>
      </w:r>
      <w:r w:rsidRPr="006E3913">
        <w:rPr>
          <w:rFonts w:cs="Arial"/>
        </w:rPr>
        <w:t>assera 50 millions d’habitants</w:t>
      </w:r>
      <w:r>
        <w:rPr>
          <w:rFonts w:cs="Arial"/>
        </w:rPr>
        <w:t>.</w:t>
      </w:r>
    </w:p>
    <w:p w:rsidR="00230966" w:rsidRPr="00230966" w:rsidRDefault="001E194B" w:rsidP="007A6348">
      <w:pPr>
        <w:pStyle w:val="Paragraphedeliste"/>
        <w:spacing w:after="0"/>
        <w:ind w:left="0"/>
        <w:rPr>
          <w:rFonts w:ascii="Arial" w:hAnsi="Arial" w:cs="Arial"/>
          <w:sz w:val="24"/>
          <w:szCs w:val="24"/>
        </w:rPr>
      </w:pPr>
    </w:p>
    <w:p w:rsidR="00C57061" w:rsidRPr="00230966" w:rsidRDefault="001E194B" w:rsidP="007A6348">
      <w:pPr>
        <w:spacing w:after="0"/>
        <w:jc w:val="both"/>
        <w:rPr>
          <w:rFonts w:eastAsiaTheme="minorEastAsia" w:cs="Arial"/>
        </w:rPr>
      </w:pPr>
      <w:r w:rsidRPr="006E3913">
        <w:rPr>
          <w:rFonts w:eastAsiaTheme="minorEastAsia" w:cs="Arial"/>
          <w:b/>
          <w:bCs/>
        </w:rPr>
        <w:t>5-</w:t>
      </w:r>
      <w:r>
        <w:rPr>
          <w:rFonts w:eastAsiaTheme="minorEastAsia" w:cs="Arial"/>
        </w:rPr>
        <w:t xml:space="preserve"> </w:t>
      </w:r>
      <w:r w:rsidRPr="006E3913">
        <w:rPr>
          <w:rFonts w:eastAsiaTheme="minorEastAsia" w:cs="Arial"/>
        </w:rPr>
        <w:t>La population d’Afrique du Sud comptait respectivement 44 millions d’habitants en 2000 et 45,3 millions en 2005.</w:t>
      </w:r>
      <w:r>
        <w:rPr>
          <w:rFonts w:eastAsiaTheme="minorEastAsia" w:cs="Arial"/>
        </w:rPr>
        <w:t xml:space="preserve"> </w:t>
      </w:r>
      <w:r w:rsidRPr="00230966">
        <w:rPr>
          <w:rFonts w:eastAsiaTheme="minorEastAsia" w:cs="Arial"/>
        </w:rPr>
        <w:t xml:space="preserve">Compléter avec ces données le graphique fourni </w:t>
      </w:r>
      <w:r w:rsidRPr="00230966">
        <w:rPr>
          <w:rFonts w:eastAsiaTheme="minorEastAsia" w:cs="Arial"/>
          <w:b/>
        </w:rPr>
        <w:t xml:space="preserve">en </w:t>
      </w:r>
      <w:r w:rsidRPr="00042002">
        <w:rPr>
          <w:rFonts w:eastAsiaTheme="minorEastAsia" w:cs="Arial"/>
          <w:b/>
        </w:rPr>
        <w:t>annexe (à rendre avec la copie)</w:t>
      </w:r>
      <w:r w:rsidRPr="00230966">
        <w:rPr>
          <w:rFonts w:eastAsiaTheme="minorEastAsia" w:cs="Arial"/>
        </w:rPr>
        <w:t>.</w:t>
      </w:r>
      <w:r>
        <w:rPr>
          <w:rFonts w:eastAsiaTheme="minorEastAsia" w:cs="Arial"/>
        </w:rPr>
        <w:t xml:space="preserve"> Indiquer si ces</w:t>
      </w:r>
      <w:r w:rsidRPr="00230966">
        <w:rPr>
          <w:rFonts w:eastAsiaTheme="minorEastAsia" w:cs="Arial"/>
        </w:rPr>
        <w:t xml:space="preserve"> données sont conformes au modèle proposé</w:t>
      </w:r>
      <w:r>
        <w:rPr>
          <w:rFonts w:eastAsiaTheme="minorEastAsia" w:cs="Arial"/>
        </w:rPr>
        <w:t>.</w:t>
      </w:r>
      <w:r w:rsidRPr="00230966">
        <w:rPr>
          <w:rFonts w:eastAsiaTheme="minorEastAsia" w:cs="Arial"/>
        </w:rPr>
        <w:t xml:space="preserve"> Justifier</w:t>
      </w:r>
      <w:r>
        <w:rPr>
          <w:rFonts w:eastAsiaTheme="minorEastAsia" w:cs="Arial"/>
        </w:rPr>
        <w:t xml:space="preserve"> la réponse</w:t>
      </w:r>
      <w:r w:rsidRPr="00230966">
        <w:rPr>
          <w:rFonts w:eastAsiaTheme="minorEastAsia" w:cs="Arial"/>
        </w:rPr>
        <w:t>.</w:t>
      </w:r>
    </w:p>
    <w:p w:rsidR="00C57061" w:rsidRPr="00230966" w:rsidRDefault="001E194B" w:rsidP="007A6348">
      <w:pPr>
        <w:spacing w:after="0"/>
        <w:jc w:val="both"/>
        <w:rPr>
          <w:rFonts w:cs="Arial"/>
          <w:b/>
          <w:u w:val="single"/>
        </w:rPr>
      </w:pPr>
    </w:p>
    <w:p w:rsidR="00F62D43" w:rsidRPr="006E3913" w:rsidRDefault="001E194B" w:rsidP="007A6348">
      <w:pPr>
        <w:spacing w:after="0"/>
        <w:jc w:val="both"/>
        <w:rPr>
          <w:rFonts w:cs="Arial"/>
        </w:rPr>
      </w:pPr>
      <w:r w:rsidRPr="006E3913">
        <w:rPr>
          <w:rFonts w:cs="Arial"/>
          <w:b/>
          <w:bCs/>
        </w:rPr>
        <w:t>6-</w:t>
      </w:r>
      <w:r>
        <w:rPr>
          <w:rFonts w:cs="Arial"/>
        </w:rPr>
        <w:t xml:space="preserve"> </w:t>
      </w:r>
      <w:r w:rsidRPr="006E3913">
        <w:rPr>
          <w:rFonts w:cs="Arial"/>
        </w:rPr>
        <w:t>En utilisant le document 2, justifier que le taux d’accroissement annuel moyen en 1970 est de 2,4</w:t>
      </w:r>
      <w:r>
        <w:rPr>
          <w:rFonts w:cs="Arial"/>
        </w:rPr>
        <w:t> </w:t>
      </w:r>
      <w:r w:rsidRPr="006E3913">
        <w:rPr>
          <w:rFonts w:cs="Arial"/>
        </w:rPr>
        <w:t>%.</w:t>
      </w:r>
    </w:p>
    <w:p w:rsidR="0065407B" w:rsidRPr="00230966" w:rsidRDefault="001E194B" w:rsidP="007A6348">
      <w:pPr>
        <w:spacing w:after="0"/>
        <w:jc w:val="both"/>
        <w:rPr>
          <w:rFonts w:cs="Arial"/>
        </w:rPr>
      </w:pPr>
    </w:p>
    <w:p w:rsidR="00F62D43" w:rsidRPr="00230966" w:rsidRDefault="001E194B" w:rsidP="007A6348">
      <w:pPr>
        <w:spacing w:after="0"/>
        <w:jc w:val="both"/>
        <w:rPr>
          <w:rFonts w:cs="Arial"/>
        </w:rPr>
      </w:pPr>
      <w:r w:rsidRPr="006E3913">
        <w:rPr>
          <w:rFonts w:cs="Arial"/>
          <w:b/>
          <w:bCs/>
        </w:rPr>
        <w:t>7-</w:t>
      </w:r>
      <w:r>
        <w:rPr>
          <w:rFonts w:cs="Arial"/>
        </w:rPr>
        <w:t xml:space="preserve"> Au regard du document 2, o</w:t>
      </w:r>
      <w:r w:rsidRPr="006E3913">
        <w:rPr>
          <w:rFonts w:cs="Arial"/>
        </w:rPr>
        <w:t>n émet l’hypothèse qu’à partir de 1950, le taux de morta</w:t>
      </w:r>
      <w:r w:rsidRPr="006E3913">
        <w:rPr>
          <w:rFonts w:cs="Arial"/>
        </w:rPr>
        <w:t xml:space="preserve">lité de la population diminue de 3 points </w:t>
      </w:r>
      <w:r>
        <w:rPr>
          <w:rFonts w:cs="Arial"/>
        </w:rPr>
        <w:t xml:space="preserve">sur mille </w:t>
      </w:r>
      <w:r w:rsidRPr="006E3913">
        <w:rPr>
          <w:rFonts w:cs="Arial"/>
        </w:rPr>
        <w:t xml:space="preserve">tous les 10 ans. </w:t>
      </w:r>
      <w:r w:rsidRPr="00230966">
        <w:rPr>
          <w:rFonts w:cs="Arial"/>
        </w:rPr>
        <w:t xml:space="preserve">Calculer les taux de mortalité attendus en 1990 et 2000. Les comparer aux valeurs réelles. </w:t>
      </w:r>
    </w:p>
    <w:p w:rsidR="0065407B" w:rsidRPr="00230966" w:rsidRDefault="001E194B" w:rsidP="007A6348">
      <w:pPr>
        <w:spacing w:after="0"/>
        <w:jc w:val="both"/>
        <w:rPr>
          <w:rFonts w:cs="Arial"/>
        </w:rPr>
      </w:pPr>
    </w:p>
    <w:p w:rsidR="006E3913" w:rsidRDefault="001E194B" w:rsidP="007A6348">
      <w:pPr>
        <w:spacing w:after="0"/>
        <w:jc w:val="both"/>
        <w:rPr>
          <w:rFonts w:cs="Arial"/>
        </w:rPr>
      </w:pPr>
      <w:r w:rsidRPr="006E3913">
        <w:rPr>
          <w:rFonts w:cs="Arial"/>
          <w:b/>
          <w:bCs/>
        </w:rPr>
        <w:t>8-</w:t>
      </w:r>
      <w:r>
        <w:rPr>
          <w:rFonts w:cs="Arial"/>
        </w:rPr>
        <w:t xml:space="preserve"> </w:t>
      </w:r>
      <w:r w:rsidRPr="006E3913">
        <w:rPr>
          <w:rFonts w:cs="Arial"/>
        </w:rPr>
        <w:t>À partir de 1995, la population sud-africaine n’a plus suivi l</w:t>
      </w:r>
      <w:r>
        <w:rPr>
          <w:rFonts w:cs="Arial"/>
        </w:rPr>
        <w:t>a variation</w:t>
      </w:r>
      <w:r w:rsidRPr="006E3913">
        <w:rPr>
          <w:rFonts w:cs="Arial"/>
        </w:rPr>
        <w:t xml:space="preserve"> prévue par ce der</w:t>
      </w:r>
      <w:r w:rsidRPr="006E3913">
        <w:rPr>
          <w:rFonts w:cs="Arial"/>
        </w:rPr>
        <w:t>nier modèle.</w:t>
      </w:r>
      <w:r>
        <w:rPr>
          <w:rFonts w:cs="Arial"/>
        </w:rPr>
        <w:t xml:space="preserve"> </w:t>
      </w:r>
      <w:r w:rsidRPr="00230966">
        <w:rPr>
          <w:rFonts w:cs="Arial"/>
        </w:rPr>
        <w:t xml:space="preserve">À l’aide des documents 2 et 3, donner des arguments permettant d’expliquer ce phénomène. </w:t>
      </w:r>
    </w:p>
    <w:p w:rsidR="003320A1" w:rsidRPr="007A6348" w:rsidRDefault="001E194B" w:rsidP="007A6348">
      <w:pPr>
        <w:spacing w:after="0"/>
        <w:rPr>
          <w:rFonts w:eastAsia="Times New Roman"/>
          <w:b/>
          <w:bCs/>
          <w:kern w:val="32"/>
          <w:sz w:val="32"/>
          <w:szCs w:val="32"/>
        </w:rPr>
      </w:pPr>
      <w:r>
        <w:br w:type="page"/>
      </w:r>
    </w:p>
    <w:p w:rsidR="006E070F" w:rsidRPr="00A77456" w:rsidRDefault="001E194B" w:rsidP="006E070F">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6E070F" w:rsidRPr="00A77456" w:rsidRDefault="001E194B" w:rsidP="006E070F">
      <w:pPr>
        <w:spacing w:after="240"/>
        <w:jc w:val="center"/>
        <w:rPr>
          <w:rFonts w:eastAsia="Arial" w:cs="Arial"/>
          <w:i/>
        </w:rPr>
      </w:pPr>
      <w:r w:rsidRPr="00A77456">
        <w:rPr>
          <w:rFonts w:eastAsia="Arial" w:cs="Arial"/>
          <w:i/>
        </w:rPr>
        <w:t>Thème « </w:t>
      </w:r>
      <w:r>
        <w:rPr>
          <w:rFonts w:eastAsia="Arial" w:cs="Arial"/>
          <w:i/>
        </w:rPr>
        <w:t>Une longue histoire de la matière »</w:t>
      </w:r>
    </w:p>
    <w:p w:rsidR="006E070F" w:rsidRPr="00D87AD1" w:rsidRDefault="001E194B" w:rsidP="006E070F">
      <w:pPr>
        <w:spacing w:after="120"/>
        <w:rPr>
          <w:b/>
          <w:sz w:val="22"/>
        </w:rPr>
      </w:pPr>
      <w:r>
        <w:rPr>
          <w:b/>
          <w:sz w:val="28"/>
        </w:rPr>
        <w:t>L’or : exploitation et conséquences sanitaires</w:t>
      </w:r>
    </w:p>
    <w:p w:rsidR="0034519D" w:rsidRPr="00C26594" w:rsidRDefault="001E194B" w:rsidP="006E070F">
      <w:pPr>
        <w:spacing w:after="240"/>
        <w:rPr>
          <w:rFonts w:cs="Arial"/>
          <w:b/>
        </w:rPr>
      </w:pPr>
      <w:r w:rsidRPr="00D74F67">
        <w:rPr>
          <w:i/>
        </w:rPr>
        <w:t>Sur 10 points</w:t>
      </w:r>
    </w:p>
    <w:p w:rsidR="003F2F5D" w:rsidRDefault="001E194B" w:rsidP="006E070F">
      <w:pPr>
        <w:pStyle w:val="En-tte"/>
        <w:spacing w:after="480" w:line="276" w:lineRule="auto"/>
        <w:jc w:val="both"/>
        <w:rPr>
          <w:rFonts w:ascii="Arial" w:hAnsi="Arial" w:cs="Arial"/>
        </w:rPr>
      </w:pPr>
      <w:r w:rsidRPr="00C26594">
        <w:rPr>
          <w:rFonts w:ascii="Arial" w:hAnsi="Arial" w:cs="Arial"/>
        </w:rPr>
        <w:t xml:space="preserve">L’objectif de cet exercice est d’étudier la structure cristalline de l’or </w:t>
      </w:r>
      <w:r>
        <w:rPr>
          <w:rFonts w:ascii="Arial" w:hAnsi="Arial" w:cs="Arial"/>
        </w:rPr>
        <w:t>puis</w:t>
      </w:r>
      <w:r w:rsidRPr="00C26594">
        <w:rPr>
          <w:rFonts w:ascii="Arial" w:hAnsi="Arial" w:cs="Arial"/>
        </w:rPr>
        <w:t xml:space="preserve"> de comprendre en quoi l’exploitation de l’or peut </w:t>
      </w:r>
      <w:r>
        <w:rPr>
          <w:rFonts w:ascii="Arial" w:hAnsi="Arial" w:cs="Arial"/>
        </w:rPr>
        <w:t>favoriser</w:t>
      </w:r>
      <w:r w:rsidRPr="00C26594">
        <w:rPr>
          <w:rFonts w:ascii="Arial" w:hAnsi="Arial" w:cs="Arial"/>
        </w:rPr>
        <w:t xml:space="preserve"> le développement de troubles neurologiques</w:t>
      </w:r>
      <w:r w:rsidRPr="0034519D">
        <w:rPr>
          <w:rFonts w:ascii="Arial" w:hAnsi="Arial" w:cs="Arial"/>
        </w:rPr>
        <w:t xml:space="preserve"> </w:t>
      </w:r>
      <w:r w:rsidRPr="00AD49A7">
        <w:rPr>
          <w:rFonts w:ascii="Arial" w:hAnsi="Arial" w:cs="Arial"/>
        </w:rPr>
        <w:t>dans les populations humaines</w:t>
      </w:r>
      <w:r w:rsidRPr="00C26594">
        <w:rPr>
          <w:rFonts w:ascii="Arial" w:hAnsi="Arial" w:cs="Arial"/>
        </w:rPr>
        <w:t>.</w:t>
      </w:r>
      <w:r>
        <w:rPr>
          <w:rFonts w:ascii="Arial" w:hAnsi="Arial" w:cs="Arial"/>
        </w:rPr>
        <w:t xml:space="preserve"> </w:t>
      </w:r>
    </w:p>
    <w:p w:rsidR="00BD7FFA" w:rsidRPr="006E070F" w:rsidRDefault="001E194B" w:rsidP="00DB695E">
      <w:pPr>
        <w:pStyle w:val="En-tte"/>
        <w:tabs>
          <w:tab w:val="clear" w:pos="4536"/>
          <w:tab w:val="center" w:pos="426"/>
        </w:tabs>
        <w:spacing w:after="240" w:line="360" w:lineRule="auto"/>
        <w:rPr>
          <w:rFonts w:ascii="Arial" w:hAnsi="Arial"/>
          <w:color w:val="FF33CC"/>
          <w:sz w:val="20"/>
          <w:szCs w:val="22"/>
        </w:rPr>
      </w:pPr>
      <w:r w:rsidRPr="006E070F">
        <w:rPr>
          <w:rFonts w:ascii="Arial" w:hAnsi="Arial" w:cs="Arial"/>
          <w:bCs/>
          <w:u w:val="single"/>
        </w:rPr>
        <w:t>Partie 1. La structure du cristal d’or</w:t>
      </w:r>
    </w:p>
    <w:tbl>
      <w:tblPr>
        <w:tblStyle w:val="Grilledutableau"/>
        <w:tblW w:w="9322" w:type="dxa"/>
        <w:tblBorders>
          <w:insideH w:val="none" w:sz="0" w:space="0" w:color="auto"/>
          <w:insideV w:val="none" w:sz="0" w:space="0" w:color="auto"/>
        </w:tblBorders>
        <w:tblLook w:val="04A0" w:firstRow="1" w:lastRow="0" w:firstColumn="1" w:lastColumn="0" w:noHBand="0" w:noVBand="1"/>
      </w:tblPr>
      <w:tblGrid>
        <w:gridCol w:w="9322"/>
      </w:tblGrid>
      <w:tr w:rsidR="00D86217" w:rsidTr="00A105B0">
        <w:trPr>
          <w:trHeight w:val="5513"/>
        </w:trPr>
        <w:tc>
          <w:tcPr>
            <w:tcW w:w="9322" w:type="dxa"/>
            <w:tcBorders>
              <w:top w:val="single" w:sz="4" w:space="0" w:color="auto"/>
              <w:bottom w:val="nil"/>
            </w:tcBorders>
          </w:tcPr>
          <w:p w:rsidR="0025618C" w:rsidRDefault="001E194B" w:rsidP="00DB695E">
            <w:pPr>
              <w:pStyle w:val="En-tte"/>
              <w:spacing w:before="120" w:after="120" w:line="360" w:lineRule="auto"/>
              <w:rPr>
                <w:rFonts w:ascii="Arial" w:hAnsi="Arial" w:cs="Arial"/>
              </w:rPr>
            </w:pPr>
            <w:r w:rsidRPr="00635D0A">
              <w:rPr>
                <w:rFonts w:ascii="Arial" w:hAnsi="Arial" w:cs="Arial"/>
              </w:rPr>
              <w:t>Document 1. Représentations de la maille cristalline de l’or</w:t>
            </w:r>
            <w:r w:rsidRPr="00D15700">
              <w:rPr>
                <w:rFonts w:ascii="Arial" w:hAnsi="Arial" w:cs="Arial"/>
              </w:rPr>
              <w:t xml:space="preserve"> </w:t>
            </w:r>
          </w:p>
          <w:p w:rsidR="00D406AA" w:rsidRPr="00C26594" w:rsidRDefault="001E194B" w:rsidP="00DB695E">
            <w:pPr>
              <w:pStyle w:val="En-tte"/>
              <w:spacing w:before="120" w:after="120" w:line="276" w:lineRule="auto"/>
              <w:jc w:val="both"/>
              <w:rPr>
                <w:rFonts w:ascii="Arial" w:hAnsi="Arial" w:cs="Arial"/>
              </w:rPr>
            </w:pPr>
            <w:r w:rsidRPr="00C26594">
              <w:rPr>
                <w:rFonts w:ascii="Arial" w:hAnsi="Arial" w:cs="Arial"/>
              </w:rPr>
              <w:t>L’or cristallise en réseau cubique à faces centrées. Les atomes d’or sont assimilés à des sphères rigides</w:t>
            </w:r>
            <w:r>
              <w:rPr>
                <w:rFonts w:ascii="Arial" w:hAnsi="Arial" w:cs="Arial"/>
              </w:rPr>
              <w:t xml:space="preserve">, </w:t>
            </w:r>
            <w:r w:rsidRPr="00364D38">
              <w:rPr>
                <w:rFonts w:ascii="Arial" w:hAnsi="Arial" w:cs="Arial"/>
              </w:rPr>
              <w:t>tangentes entre elles</w:t>
            </w:r>
            <w:r>
              <w:rPr>
                <w:rFonts w:ascii="Arial" w:hAnsi="Arial" w:cs="Arial"/>
              </w:rPr>
              <w:t>,</w:t>
            </w:r>
            <w:r w:rsidRPr="00D15700">
              <w:rPr>
                <w:rFonts w:ascii="Arial" w:hAnsi="Arial" w:cs="Arial"/>
              </w:rPr>
              <w:t xml:space="preserve"> </w:t>
            </w:r>
            <w:r w:rsidRPr="00C26594">
              <w:rPr>
                <w:rFonts w:ascii="Arial" w:hAnsi="Arial" w:cs="Arial"/>
              </w:rPr>
              <w:t xml:space="preserve">de rayon </w:t>
            </w:r>
            <w:r w:rsidRPr="00C26594">
              <w:rPr>
                <w:rFonts w:ascii="Arial" w:hAnsi="Arial" w:cs="Arial"/>
                <w:i/>
              </w:rPr>
              <w:t>r</w:t>
            </w:r>
            <w:r w:rsidRPr="00C26594">
              <w:rPr>
                <w:rFonts w:ascii="Arial" w:hAnsi="Arial" w:cs="Arial"/>
              </w:rPr>
              <w:t xml:space="preserve"> = 144,2 </w:t>
            </w:r>
            <w:r>
              <w:rPr>
                <w:rFonts w:ascii="Arial" w:hAnsi="Arial" w:cs="Arial"/>
              </w:rPr>
              <w:t>pm (</w:t>
            </w:r>
            <w:r w:rsidRPr="00C26594">
              <w:rPr>
                <w:rFonts w:ascii="Arial" w:hAnsi="Arial" w:cs="Arial"/>
              </w:rPr>
              <w:t>1</w:t>
            </w:r>
            <w:r>
              <w:rPr>
                <w:rFonts w:ascii="Arial" w:hAnsi="Arial" w:cs="Arial"/>
              </w:rPr>
              <w:t> </w:t>
            </w:r>
            <w:r w:rsidRPr="00C26594">
              <w:rPr>
                <w:rFonts w:ascii="Arial" w:hAnsi="Arial" w:cs="Arial"/>
              </w:rPr>
              <w:t>pm</w:t>
            </w:r>
            <w:r>
              <w:rPr>
                <w:rFonts w:ascii="Arial" w:hAnsi="Arial" w:cs="Arial"/>
              </w:rPr>
              <w:t> </w:t>
            </w:r>
            <w:r w:rsidRPr="00C26594">
              <w:rPr>
                <w:rFonts w:ascii="Arial" w:hAnsi="Arial" w:cs="Arial"/>
              </w:rPr>
              <w:t>=</w:t>
            </w:r>
            <w:r>
              <w:rPr>
                <w:rFonts w:ascii="Arial" w:hAnsi="Arial" w:cs="Arial"/>
              </w:rPr>
              <w:t> </w:t>
            </w:r>
            <w:r w:rsidRPr="00C26594">
              <w:rPr>
                <w:rFonts w:ascii="Arial" w:hAnsi="Arial" w:cs="Arial"/>
              </w:rPr>
              <w:t xml:space="preserve"> </w:t>
            </w:r>
            <m:oMath>
              <m:sSup>
                <m:sSupPr>
                  <m:ctrlPr>
                    <w:rPr>
                      <w:rFonts w:ascii="Cambria Math" w:hAnsi="Cambria Math" w:cs="Arial"/>
                    </w:rPr>
                  </m:ctrlPr>
                </m:sSupPr>
                <m:e>
                  <m:r>
                    <m:rPr>
                      <m:sty m:val="p"/>
                    </m:rPr>
                    <w:rPr>
                      <w:rFonts w:ascii="Cambria Math" w:hAnsi="Cambria Math" w:cs="Arial"/>
                    </w:rPr>
                    <m:t>10</m:t>
                  </m:r>
                </m:e>
                <m:sup>
                  <m:r>
                    <m:rPr>
                      <m:sty m:val="p"/>
                    </m:rPr>
                    <w:rPr>
                      <w:rFonts w:ascii="Cambria Math" w:hAnsi="Cambria Math" w:cs="Arial"/>
                    </w:rPr>
                    <m:t>-</m:t>
                  </m:r>
                  <m:r>
                    <m:rPr>
                      <m:sty m:val="p"/>
                    </m:rPr>
                    <w:rPr>
                      <w:rFonts w:ascii="Cambria Math" w:hAnsi="Cambria Math" w:cs="Arial"/>
                    </w:rPr>
                    <m:t>12</m:t>
                  </m:r>
                </m:sup>
              </m:sSup>
              <m:r>
                <m:rPr>
                  <m:sty m:val="p"/>
                </m:rPr>
                <w:rPr>
                  <w:rFonts w:ascii="Cambria Math" w:hAnsi="Cambria Math" w:cs="Arial"/>
                </w:rPr>
                <m:t xml:space="preserve"> m)</m:t>
              </m:r>
            </m:oMath>
            <w:r w:rsidRPr="00C26594">
              <w:rPr>
                <w:rFonts w:ascii="Arial" w:hAnsi="Arial" w:cs="Arial"/>
              </w:rPr>
              <w:t xml:space="preserve">. Les points de tangence </w:t>
            </w:r>
            <w:r w:rsidRPr="00C26594">
              <w:rPr>
                <w:rFonts w:ascii="Arial" w:hAnsi="Arial" w:cs="Arial"/>
              </w:rPr>
              <w:t>sont situés sur la diagonale d’une face du cube.</w:t>
            </w:r>
          </w:p>
          <w:p w:rsidR="00D86217" w:rsidRPr="00C26594" w:rsidRDefault="001E194B" w:rsidP="00DB695E">
            <w:pPr>
              <w:pStyle w:val="En-tte"/>
              <w:spacing w:after="120" w:line="276" w:lineRule="auto"/>
              <w:jc w:val="both"/>
              <w:rPr>
                <w:rFonts w:ascii="Arial" w:hAnsi="Arial" w:cs="Arial"/>
              </w:rPr>
            </w:pPr>
            <w:r w:rsidRPr="00C26594">
              <w:rPr>
                <w:rFonts w:ascii="Arial" w:hAnsi="Arial" w:cs="Arial"/>
              </w:rPr>
              <w:t>Ci-dessous, les points</w:t>
            </w:r>
            <w:r>
              <w:rPr>
                <w:rFonts w:ascii="Arial" w:hAnsi="Arial" w:cs="Arial"/>
              </w:rPr>
              <w:t xml:space="preserve"> </w:t>
            </w:r>
            <w:r w:rsidRPr="00C26594">
              <w:rPr>
                <w:rFonts w:ascii="Arial" w:hAnsi="Arial" w:cs="Arial"/>
              </w:rPr>
              <w:t xml:space="preserve">représentent la position des centres des atomes d’or dans la maille : chaque atome au sommet du cube appartient à huit mailles et ceux au centre de chaque face appartiennent à deux </w:t>
            </w:r>
            <w:r w:rsidRPr="00C26594">
              <w:rPr>
                <w:rFonts w:ascii="Arial" w:hAnsi="Arial" w:cs="Arial"/>
              </w:rPr>
              <w:t>mailles.</w:t>
            </w:r>
          </w:p>
          <w:p w:rsidR="00D86217" w:rsidRPr="00C26594" w:rsidRDefault="001E194B" w:rsidP="00B27E52">
            <w:pPr>
              <w:pStyle w:val="En-tte"/>
              <w:spacing w:before="240" w:after="120" w:line="360" w:lineRule="auto"/>
              <w:jc w:val="center"/>
              <w:rPr>
                <w:rFonts w:ascii="Arial" w:hAnsi="Arial" w:cs="Arial"/>
                <w:i/>
              </w:rPr>
            </w:pPr>
            <w:r w:rsidRPr="00C26594">
              <w:rPr>
                <w:rFonts w:ascii="Arial" w:hAnsi="Arial" w:cs="Arial"/>
                <w:noProof/>
              </w:rPr>
              <w:drawing>
                <wp:inline distT="0" distB="0" distL="0" distR="0" wp14:anchorId="02A653F8" wp14:editId="585D36E5">
                  <wp:extent cx="2260121" cy="2249399"/>
                  <wp:effectExtent l="0" t="0" r="6985" b="0"/>
                  <wp:docPr id="2"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61864" cy="2251134"/>
                          </a:xfrm>
                          <a:prstGeom prst="rect">
                            <a:avLst/>
                          </a:prstGeom>
                        </pic:spPr>
                      </pic:pic>
                    </a:graphicData>
                  </a:graphic>
                </wp:inline>
              </w:drawing>
            </w:r>
          </w:p>
        </w:tc>
      </w:tr>
      <w:tr w:rsidR="00B27E52" w:rsidTr="00A105B0">
        <w:trPr>
          <w:trHeight w:val="4592"/>
        </w:trPr>
        <w:tc>
          <w:tcPr>
            <w:tcW w:w="9322" w:type="dxa"/>
            <w:tcBorders>
              <w:top w:val="nil"/>
            </w:tcBorders>
          </w:tcPr>
          <w:p w:rsidR="00B27E52" w:rsidRPr="00C26594" w:rsidRDefault="001E194B" w:rsidP="00BB169A">
            <w:pPr>
              <w:pStyle w:val="En-tte"/>
              <w:spacing w:before="120" w:after="240" w:line="276" w:lineRule="auto"/>
              <w:jc w:val="both"/>
              <w:rPr>
                <w:rFonts w:ascii="Arial" w:hAnsi="Arial" w:cs="Arial"/>
              </w:rPr>
            </w:pPr>
            <w:r w:rsidRPr="00C26594">
              <w:rPr>
                <w:rFonts w:ascii="Arial" w:hAnsi="Arial" w:cs="Arial"/>
              </w:rPr>
              <w:lastRenderedPageBreak/>
              <w:t xml:space="preserve">On donne la représentation plane de la face d’une maille </w:t>
            </w:r>
            <w:r>
              <w:rPr>
                <w:rFonts w:ascii="Arial" w:hAnsi="Arial" w:cs="Arial"/>
              </w:rPr>
              <w:t>sur la figure suivante</w:t>
            </w:r>
            <w:r w:rsidRPr="00C26594">
              <w:rPr>
                <w:rFonts w:ascii="Arial" w:hAnsi="Arial" w:cs="Arial"/>
              </w:rPr>
              <w:t xml:space="preserve"> ; </w:t>
            </w:r>
            <m:oMath>
              <m:r>
                <w:rPr>
                  <w:rFonts w:ascii="Cambria Math" w:hAnsi="Cambria Math" w:cs="Arial"/>
                </w:rPr>
                <m:t>a</m:t>
              </m:r>
            </m:oMath>
            <w:r w:rsidRPr="00C26594">
              <w:rPr>
                <w:rFonts w:ascii="Arial" w:hAnsi="Arial" w:cs="Arial"/>
              </w:rPr>
              <w:t xml:space="preserve"> est la longueur de l’arête de la maille et </w:t>
            </w:r>
            <m:oMath>
              <m:r>
                <w:rPr>
                  <w:rFonts w:ascii="Cambria Math" w:hAnsi="Cambria Math" w:cs="Arial"/>
                </w:rPr>
                <m:t>r</m:t>
              </m:r>
            </m:oMath>
            <w:r w:rsidRPr="00C26594">
              <w:rPr>
                <w:rFonts w:ascii="Arial" w:hAnsi="Arial" w:cs="Arial"/>
              </w:rPr>
              <w:t xml:space="preserve"> est le rayon d’un atome.</w:t>
            </w:r>
          </w:p>
          <w:p w:rsidR="00B27E52" w:rsidRPr="00635D0A" w:rsidRDefault="001E194B" w:rsidP="00B27E52">
            <w:pPr>
              <w:pStyle w:val="En-tte"/>
              <w:spacing w:before="120" w:after="120" w:line="360" w:lineRule="auto"/>
              <w:jc w:val="center"/>
              <w:rPr>
                <w:rFonts w:ascii="Arial" w:hAnsi="Arial" w:cs="Arial"/>
              </w:rPr>
            </w:pPr>
            <w:r w:rsidRPr="00C26594">
              <w:rPr>
                <w:rFonts w:ascii="Arial" w:hAnsi="Arial" w:cs="Arial"/>
                <w:noProof/>
              </w:rPr>
              <w:drawing>
                <wp:inline distT="0" distB="0" distL="0" distR="0" wp14:anchorId="7420DD5E" wp14:editId="2BD94A26">
                  <wp:extent cx="2433693" cy="2147978"/>
                  <wp:effectExtent l="0" t="0" r="5080" b="5080"/>
                  <wp:docPr id="3" name="Image 3" descr="Macintosh HD:Users:coco:Desktop:Crista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2">
                            <a:extLst>
                              <a:ext uri="{28A0092B-C50C-407E-A947-70E740481C1C}">
                                <a14:useLocalDpi xmlns:a14="http://schemas.microsoft.com/office/drawing/2010/main" val="0"/>
                              </a:ext>
                            </a:extLst>
                          </a:blip>
                          <a:stretch>
                            <a:fillRect/>
                          </a:stretch>
                        </pic:blipFill>
                        <pic:spPr>
                          <a:xfrm>
                            <a:off x="0" y="0"/>
                            <a:ext cx="2440536" cy="2154018"/>
                          </a:xfrm>
                          <a:prstGeom prst="rect">
                            <a:avLst/>
                          </a:prstGeom>
                        </pic:spPr>
                      </pic:pic>
                    </a:graphicData>
                  </a:graphic>
                </wp:inline>
              </w:drawing>
            </w:r>
          </w:p>
        </w:tc>
      </w:tr>
    </w:tbl>
    <w:p w:rsidR="00C26594" w:rsidRDefault="001E194B" w:rsidP="00DD07CB">
      <w:pPr>
        <w:jc w:val="both"/>
        <w:rPr>
          <w:rFonts w:cs="Arial"/>
          <w:b/>
        </w:rPr>
      </w:pPr>
    </w:p>
    <w:p w:rsidR="00181424" w:rsidRPr="00C26594" w:rsidRDefault="001E194B" w:rsidP="00125421">
      <w:pPr>
        <w:pStyle w:val="En-tte"/>
        <w:spacing w:after="240"/>
        <w:jc w:val="both"/>
        <w:rPr>
          <w:rFonts w:ascii="Arial" w:hAnsi="Arial" w:cs="Arial"/>
        </w:rPr>
      </w:pPr>
      <w:r>
        <w:rPr>
          <w:rFonts w:ascii="Arial" w:hAnsi="Arial" w:cs="Arial"/>
          <w:b/>
        </w:rPr>
        <w:t>1</w:t>
      </w:r>
      <w:r w:rsidRPr="00C26594">
        <w:rPr>
          <w:rFonts w:ascii="Arial" w:hAnsi="Arial" w:cs="Arial"/>
          <w:b/>
        </w:rPr>
        <w:t>-</w:t>
      </w:r>
      <w:r w:rsidRPr="00C26594">
        <w:rPr>
          <w:rFonts w:ascii="Arial" w:hAnsi="Arial" w:cs="Arial"/>
        </w:rPr>
        <w:t xml:space="preserve"> On note </w:t>
      </w:r>
      <m:oMath>
        <m:r>
          <w:rPr>
            <w:rFonts w:ascii="Cambria Math" w:hAnsi="Cambria Math" w:cs="Arial"/>
          </w:rPr>
          <m:t>a</m:t>
        </m:r>
      </m:oMath>
      <w:r w:rsidRPr="00C26594">
        <w:rPr>
          <w:rFonts w:ascii="Arial" w:hAnsi="Arial" w:cs="Arial"/>
        </w:rPr>
        <w:t xml:space="preserve"> la longueur de l’arête du cube représentant une maille. Démontrer par le calcul que  </w:t>
      </w:r>
      <m:oMath>
        <m:r>
          <w:rPr>
            <w:rFonts w:ascii="Cambria Math" w:hAnsi="Cambria Math" w:cs="Arial"/>
          </w:rPr>
          <m:t>a</m:t>
        </m:r>
      </m:oMath>
      <w:r w:rsidRPr="00C26594">
        <w:rPr>
          <w:rFonts w:ascii="Arial" w:hAnsi="Arial" w:cs="Arial"/>
          <w:i/>
          <w:iCs/>
        </w:rPr>
        <w:t xml:space="preserve"> </w:t>
      </w:r>
      <w:r w:rsidRPr="00C26594">
        <w:rPr>
          <w:rFonts w:ascii="Arial" w:hAnsi="Arial" w:cs="Arial"/>
        </w:rPr>
        <w:t xml:space="preserve">= 407,9 pm. En déduire le volume </w:t>
      </w:r>
      <m:oMath>
        <m:sSub>
          <m:sSubPr>
            <m:ctrlPr>
              <w:rPr>
                <w:rFonts w:ascii="Cambria Math" w:hAnsi="Cambria Math" w:cs="Arial"/>
                <w:i/>
              </w:rPr>
            </m:ctrlPr>
          </m:sSubPr>
          <m:e>
            <m:r>
              <w:rPr>
                <w:rFonts w:ascii="Cambria Math" w:hAnsi="Cambria Math" w:cs="Arial"/>
              </w:rPr>
              <m:t>V</m:t>
            </m:r>
          </m:e>
          <m:sub>
            <m:r>
              <w:rPr>
                <w:rFonts w:ascii="Cambria Math" w:hAnsi="Cambria Math" w:cs="Arial"/>
              </w:rPr>
              <m:t>m</m:t>
            </m:r>
          </m:sub>
        </m:sSub>
      </m:oMath>
      <w:r w:rsidRPr="00C26594">
        <w:rPr>
          <w:rFonts w:ascii="Arial" w:hAnsi="Arial" w:cs="Arial"/>
        </w:rPr>
        <w:t xml:space="preserve"> d’une maille cubique en pm</w:t>
      </w:r>
      <w:r w:rsidRPr="00C26594">
        <w:rPr>
          <w:rFonts w:ascii="Arial" w:hAnsi="Arial" w:cs="Arial"/>
          <w:vertAlign w:val="superscript"/>
        </w:rPr>
        <w:t>3</w:t>
      </w:r>
      <w:r w:rsidRPr="00C26594">
        <w:rPr>
          <w:rFonts w:ascii="Arial" w:hAnsi="Arial" w:cs="Arial"/>
        </w:rPr>
        <w:t>.</w:t>
      </w:r>
    </w:p>
    <w:p w:rsidR="00CF0B0D" w:rsidRDefault="001E194B" w:rsidP="00DD07CB">
      <w:pPr>
        <w:pStyle w:val="En-tte"/>
        <w:jc w:val="both"/>
        <w:rPr>
          <w:rFonts w:ascii="Arial" w:hAnsi="Arial" w:cs="Arial"/>
        </w:rPr>
      </w:pPr>
      <w:r>
        <w:rPr>
          <w:rFonts w:ascii="Arial" w:hAnsi="Arial" w:cs="Arial"/>
          <w:b/>
        </w:rPr>
        <w:t>2</w:t>
      </w:r>
      <w:r w:rsidRPr="00C26594">
        <w:rPr>
          <w:rFonts w:ascii="Arial" w:hAnsi="Arial" w:cs="Arial"/>
          <w:b/>
        </w:rPr>
        <w:t>-</w:t>
      </w:r>
      <w:r w:rsidRPr="00C26594">
        <w:rPr>
          <w:rFonts w:ascii="Arial" w:hAnsi="Arial" w:cs="Arial"/>
        </w:rPr>
        <w:t xml:space="preserve"> On rappelle que le volume </w:t>
      </w:r>
      <m:oMath>
        <m:r>
          <w:rPr>
            <w:rFonts w:ascii="Cambria Math" w:hAnsi="Cambria Math" w:cs="Arial"/>
          </w:rPr>
          <m:t>V</m:t>
        </m:r>
      </m:oMath>
      <w:r w:rsidRPr="00C26594">
        <w:rPr>
          <w:rFonts w:ascii="Arial" w:hAnsi="Arial" w:cs="Arial"/>
        </w:rPr>
        <w:t xml:space="preserve"> d’une sphère de rayon </w:t>
      </w:r>
      <m:oMath>
        <m:r>
          <w:rPr>
            <w:rFonts w:ascii="Cambria Math" w:hAnsi="Cambria Math" w:cs="Arial"/>
          </w:rPr>
          <m:t>r</m:t>
        </m:r>
      </m:oMath>
      <w:r w:rsidRPr="00C26594">
        <w:rPr>
          <w:rFonts w:ascii="Arial" w:hAnsi="Arial" w:cs="Arial"/>
        </w:rPr>
        <w:t xml:space="preserve"> est  </w:t>
      </w:r>
      <m:oMath>
        <m:r>
          <w:rPr>
            <w:rFonts w:ascii="Cambria Math" w:hAnsi="Cambria Math" w:cs="Arial"/>
          </w:rPr>
          <m:t>V</m:t>
        </m:r>
        <m:r>
          <m:rPr>
            <m:sty m:val="p"/>
          </m:rPr>
          <w:rPr>
            <w:rFonts w:ascii="Cambria Math" w:hAnsi="Cambria Math" w:cs="Arial"/>
          </w:rPr>
          <m:t>=</m:t>
        </m:r>
        <m:f>
          <m:fPr>
            <m:ctrlPr>
              <w:rPr>
                <w:rFonts w:ascii="Cambria Math" w:hAnsi="Cambria Math" w:cs="Arial"/>
              </w:rPr>
            </m:ctrlPr>
          </m:fPr>
          <m:num>
            <m:r>
              <m:rPr>
                <m:sty m:val="p"/>
              </m:rPr>
              <w:rPr>
                <w:rFonts w:ascii="Cambria Math" w:hAnsi="Cambria Math" w:cs="Arial"/>
              </w:rPr>
              <m:t>4</m:t>
            </m:r>
          </m:num>
          <m:den>
            <m:r>
              <m:rPr>
                <m:sty m:val="p"/>
              </m:rPr>
              <w:rPr>
                <w:rFonts w:ascii="Cambria Math" w:hAnsi="Cambria Math" w:cs="Arial"/>
              </w:rPr>
              <m:t>3</m:t>
            </m:r>
          </m:den>
        </m:f>
        <m:r>
          <w:rPr>
            <w:rFonts w:ascii="Cambria Math" w:hAnsi="Cambria Math" w:cs="Arial"/>
          </w:rPr>
          <m:t>π</m:t>
        </m:r>
        <m:sSup>
          <m:sSupPr>
            <m:ctrlPr>
              <w:rPr>
                <w:rFonts w:ascii="Cambria Math" w:hAnsi="Cambria Math" w:cs="Arial"/>
              </w:rPr>
            </m:ctrlPr>
          </m:sSupPr>
          <m:e>
            <m:r>
              <w:rPr>
                <w:rFonts w:ascii="Cambria Math" w:hAnsi="Cambria Math" w:cs="Arial"/>
              </w:rPr>
              <m:t>r</m:t>
            </m:r>
          </m:e>
          <m:sup>
            <m:r>
              <m:rPr>
                <m:sty m:val="p"/>
              </m:rPr>
              <w:rPr>
                <w:rFonts w:ascii="Cambria Math" w:hAnsi="Cambria Math" w:cs="Arial"/>
              </w:rPr>
              <m:t>3</m:t>
            </m:r>
          </m:sup>
        </m:sSup>
      </m:oMath>
      <w:r w:rsidRPr="00C26594">
        <w:rPr>
          <w:rFonts w:ascii="Arial" w:hAnsi="Arial" w:cs="Arial"/>
        </w:rPr>
        <w:t xml:space="preserve">. </w:t>
      </w:r>
      <w:r>
        <w:rPr>
          <w:rFonts w:ascii="Arial" w:hAnsi="Arial" w:cs="Arial"/>
        </w:rPr>
        <w:t>Calculer, en </w:t>
      </w:r>
      <w:r w:rsidRPr="00C26594">
        <w:rPr>
          <w:rFonts w:ascii="Arial" w:hAnsi="Arial" w:cs="Arial"/>
        </w:rPr>
        <w:t>pm</w:t>
      </w:r>
      <w:r w:rsidRPr="00C26594">
        <w:rPr>
          <w:rFonts w:ascii="Arial" w:hAnsi="Arial" w:cs="Arial"/>
          <w:vertAlign w:val="superscript"/>
        </w:rPr>
        <w:t>3</w:t>
      </w:r>
      <w:r w:rsidRPr="00C26594">
        <w:rPr>
          <w:rFonts w:ascii="Arial" w:hAnsi="Arial" w:cs="Arial"/>
        </w:rPr>
        <w:t xml:space="preserve">, le volume </w:t>
      </w:r>
      <m:oMath>
        <m:sSub>
          <m:sSubPr>
            <m:ctrlPr>
              <w:rPr>
                <w:rFonts w:ascii="Cambria Math" w:hAnsi="Cambria Math" w:cs="Arial"/>
                <w:i/>
              </w:rPr>
            </m:ctrlPr>
          </m:sSubPr>
          <m:e>
            <m:r>
              <w:rPr>
                <w:rFonts w:ascii="Cambria Math" w:hAnsi="Cambria Math" w:cs="Arial"/>
              </w:rPr>
              <m:t>V</m:t>
            </m:r>
          </m:e>
          <m:sub>
            <m:r>
              <w:rPr>
                <w:rFonts w:ascii="Cambria Math" w:hAnsi="Cambria Math" w:cs="Arial"/>
              </w:rPr>
              <m:t>O</m:t>
            </m:r>
          </m:sub>
        </m:sSub>
      </m:oMath>
      <w:r w:rsidRPr="00C26594">
        <w:rPr>
          <w:rFonts w:ascii="Arial" w:hAnsi="Arial" w:cs="Arial"/>
        </w:rPr>
        <w:t xml:space="preserve"> d’un atome d’or.</w:t>
      </w:r>
    </w:p>
    <w:p w:rsidR="00AA1868" w:rsidRPr="00C26594" w:rsidRDefault="001E194B" w:rsidP="00DD07CB">
      <w:pPr>
        <w:pStyle w:val="En-tte"/>
        <w:jc w:val="both"/>
        <w:rPr>
          <w:rFonts w:ascii="Arial" w:hAnsi="Arial" w:cs="Arial"/>
        </w:rPr>
      </w:pPr>
    </w:p>
    <w:p w:rsidR="0034519D" w:rsidRDefault="001E194B" w:rsidP="00DD07CB">
      <w:pPr>
        <w:pStyle w:val="En-tte"/>
        <w:spacing w:after="120"/>
        <w:jc w:val="both"/>
        <w:rPr>
          <w:rFonts w:ascii="Arial" w:hAnsi="Arial"/>
          <w:sz w:val="22"/>
          <w:szCs w:val="22"/>
        </w:rPr>
      </w:pPr>
      <w:r>
        <w:rPr>
          <w:rFonts w:ascii="Arial" w:hAnsi="Arial" w:cs="Arial"/>
          <w:b/>
        </w:rPr>
        <w:t>3</w:t>
      </w:r>
      <w:r w:rsidRPr="00C26594">
        <w:rPr>
          <w:rFonts w:ascii="Arial" w:hAnsi="Arial" w:cs="Arial"/>
          <w:b/>
        </w:rPr>
        <w:t>-</w:t>
      </w:r>
      <w:r w:rsidRPr="00C26594">
        <w:rPr>
          <w:rFonts w:ascii="Arial" w:hAnsi="Arial" w:cs="Arial"/>
        </w:rPr>
        <w:t xml:space="preserve"> On définit la compacité</w:t>
      </w:r>
      <m:oMath>
        <m:r>
          <w:rPr>
            <w:rFonts w:ascii="Cambria Math" w:hAnsi="Cambria Math" w:cs="Arial"/>
          </w:rPr>
          <m:t xml:space="preserve"> </m:t>
        </m:r>
        <m:r>
          <w:rPr>
            <w:rFonts w:ascii="Cambria Math" w:hAnsi="Cambria Math" w:cs="Arial"/>
          </w:rPr>
          <m:t>C</m:t>
        </m:r>
      </m:oMath>
      <w:r w:rsidRPr="00C26594">
        <w:rPr>
          <w:rFonts w:ascii="Arial" w:hAnsi="Arial" w:cs="Arial"/>
        </w:rPr>
        <w:t xml:space="preserve"> d’un cristal par la relation</w:t>
      </w:r>
      <w:r>
        <w:rPr>
          <w:rFonts w:ascii="Arial" w:hAnsi="Arial"/>
          <w:sz w:val="22"/>
          <w:szCs w:val="22"/>
        </w:rPr>
        <w:t xml:space="preserve"> : </w:t>
      </w:r>
    </w:p>
    <w:p w:rsidR="0034519D" w:rsidRDefault="001E194B" w:rsidP="00DD07CB">
      <w:pPr>
        <w:pStyle w:val="En-tte"/>
        <w:spacing w:after="120"/>
        <w:jc w:val="both"/>
        <w:rPr>
          <w:rFonts w:ascii="Arial" w:hAnsi="Arial"/>
        </w:rPr>
      </w:pPr>
      <m:oMathPara>
        <m:oMath>
          <m:r>
            <w:rPr>
              <w:rFonts w:ascii="Cambria Math" w:hAnsi="Cambria Math" w:cs="Arial"/>
            </w:rPr>
            <m:t>C</m:t>
          </m:r>
          <m:r>
            <m:rPr>
              <m:sty m:val="p"/>
            </m:rPr>
            <w:rPr>
              <w:rFonts w:ascii="Cambria Math" w:hAnsi="Cambria Math" w:cs="Arial"/>
            </w:rPr>
            <m:t>=</m:t>
          </m:r>
          <m:f>
            <m:fPr>
              <m:ctrlPr>
                <w:rPr>
                  <w:rFonts w:ascii="Cambria Math" w:hAnsi="Cambria Math" w:cs="Arial"/>
                </w:rPr>
              </m:ctrlPr>
            </m:fPr>
            <m:num>
              <m:r>
                <m:rPr>
                  <m:nor/>
                </m:rPr>
                <w:rPr>
                  <w:rFonts w:ascii="Arial" w:hAnsi="Arial" w:cs="Arial"/>
                </w:rPr>
                <m:t>Volume occupé par les atomes d'une maille</m:t>
              </m:r>
            </m:num>
            <m:den>
              <m:r>
                <m:rPr>
                  <m:nor/>
                </m:rPr>
                <w:rPr>
                  <w:rFonts w:ascii="Arial" w:hAnsi="Arial" w:cs="Arial"/>
                </w:rPr>
                <m:t>Volume de la maille</m:t>
              </m:r>
            </m:den>
          </m:f>
        </m:oMath>
      </m:oMathPara>
    </w:p>
    <w:p w:rsidR="00CF0B0D" w:rsidRPr="003F2F5D" w:rsidRDefault="001E194B" w:rsidP="00DD07CB">
      <w:pPr>
        <w:pStyle w:val="En-tte"/>
        <w:spacing w:after="120"/>
        <w:jc w:val="both"/>
        <w:rPr>
          <w:rFonts w:ascii="Arial" w:hAnsi="Arial"/>
          <w:sz w:val="22"/>
          <w:szCs w:val="22"/>
        </w:rPr>
      </w:pPr>
      <w:r>
        <w:rPr>
          <w:rFonts w:ascii="Arial" w:hAnsi="Arial"/>
        </w:rPr>
        <w:t>C</w:t>
      </w:r>
      <w:r w:rsidRPr="00C26594">
        <w:rPr>
          <w:rFonts w:ascii="Arial" w:hAnsi="Arial"/>
        </w:rPr>
        <w:t>alculer la compacité du cristal d’or.</w:t>
      </w:r>
    </w:p>
    <w:p w:rsidR="00026A6E" w:rsidRPr="00B70C56" w:rsidRDefault="001E194B" w:rsidP="00C26594">
      <w:pPr>
        <w:pStyle w:val="En-tte"/>
        <w:tabs>
          <w:tab w:val="clear" w:pos="9072"/>
          <w:tab w:val="left" w:pos="6705"/>
        </w:tabs>
        <w:spacing w:after="120" w:line="360" w:lineRule="auto"/>
        <w:rPr>
          <w:rFonts w:ascii="Arial" w:hAnsi="Arial"/>
          <w:strike/>
          <w:sz w:val="22"/>
          <w:szCs w:val="22"/>
        </w:rPr>
      </w:pPr>
    </w:p>
    <w:p w:rsidR="00BD7FFA" w:rsidRPr="00125421" w:rsidRDefault="001E194B" w:rsidP="00125421">
      <w:pPr>
        <w:pStyle w:val="En-tte"/>
        <w:spacing w:after="240" w:line="360" w:lineRule="auto"/>
        <w:rPr>
          <w:rFonts w:ascii="Arial" w:hAnsi="Arial"/>
          <w:bCs/>
          <w:u w:val="single"/>
        </w:rPr>
      </w:pPr>
      <w:r w:rsidRPr="00125421">
        <w:rPr>
          <w:rFonts w:ascii="Arial" w:hAnsi="Arial"/>
          <w:bCs/>
          <w:u w:val="single"/>
        </w:rPr>
        <w:t xml:space="preserve">Partie 2. Conséquences sanitaires de l’exploitation </w:t>
      </w:r>
      <w:r w:rsidRPr="00125421">
        <w:rPr>
          <w:rFonts w:ascii="Arial" w:hAnsi="Arial"/>
          <w:bCs/>
          <w:u w:val="single"/>
        </w:rPr>
        <w:t>d’or</w:t>
      </w:r>
    </w:p>
    <w:p w:rsidR="00D86217" w:rsidRDefault="001E194B" w:rsidP="00125421">
      <w:pPr>
        <w:pStyle w:val="En-tte"/>
        <w:spacing w:after="120" w:line="276" w:lineRule="auto"/>
        <w:jc w:val="both"/>
        <w:rPr>
          <w:rFonts w:ascii="Arial" w:hAnsi="Arial" w:cs="Arial"/>
        </w:rPr>
      </w:pPr>
      <w:r w:rsidRPr="00C26594">
        <w:rPr>
          <w:rFonts w:ascii="Arial" w:hAnsi="Arial"/>
        </w:rPr>
        <w:t xml:space="preserve">L’extraction de l’or nécessite d’utiliser de grandes quantités de cyanure et de mercure. Chez les adultes, les effets d'une exposition importante au mercure se remarquent par des symptômes affectant le système nerveux : des tremblements et des pertes </w:t>
      </w:r>
      <w:r w:rsidRPr="00C26594">
        <w:rPr>
          <w:rFonts w:ascii="Arial" w:hAnsi="Arial"/>
        </w:rPr>
        <w:t>de capacités sensorielles, avec notamment la perte de coordination entre les cellules musculaires et nerveuses, des troubles de la mémoire, et des déficiences intellectuelles</w:t>
      </w:r>
      <w:r w:rsidRPr="00C26594">
        <w:rPr>
          <w:rFonts w:ascii="Arial" w:hAnsi="Arial" w:cs="Arial"/>
        </w:rPr>
        <w:t>. Le mercure est considéré par l’Organisation Mondiale de la Santé (OMS) comme l’u</w:t>
      </w:r>
      <w:r w:rsidRPr="00C26594">
        <w:rPr>
          <w:rFonts w:ascii="Arial" w:hAnsi="Arial" w:cs="Arial"/>
        </w:rPr>
        <w:t>n des dix produits chimiques ou groupes de produits chimiques extrêmement préoccupants pour la santé publique.</w:t>
      </w:r>
    </w:p>
    <w:p w:rsidR="00C26594" w:rsidRDefault="001E194B">
      <w:pPr>
        <w:rPr>
          <w:rFonts w:cs="Arial"/>
        </w:rPr>
      </w:pPr>
    </w:p>
    <w:p w:rsidR="00B05AE2" w:rsidRPr="00C26594" w:rsidRDefault="001E194B" w:rsidP="00DF6E72">
      <w:pPr>
        <w:pStyle w:val="En-tte"/>
        <w:pBdr>
          <w:top w:val="single" w:sz="4" w:space="6" w:color="auto"/>
          <w:left w:val="single" w:sz="4" w:space="4" w:color="auto"/>
          <w:bottom w:val="single" w:sz="4" w:space="6" w:color="auto"/>
          <w:right w:val="single" w:sz="4" w:space="4" w:color="auto"/>
        </w:pBdr>
        <w:spacing w:before="120" w:after="120" w:line="360" w:lineRule="auto"/>
        <w:rPr>
          <w:rFonts w:ascii="Arial" w:hAnsi="Arial" w:cs="Arial"/>
          <w:u w:val="single"/>
        </w:rPr>
      </w:pPr>
      <w:r w:rsidRPr="00C26594">
        <w:rPr>
          <w:rFonts w:ascii="Arial" w:hAnsi="Arial" w:cs="Arial"/>
          <w:u w:val="single"/>
        </w:rPr>
        <w:t>Document 2. Les effets du méthyl-mercure sur les êtres-vivants</w:t>
      </w:r>
      <w:r w:rsidRPr="00C26594" w:rsidDel="00B17572">
        <w:rPr>
          <w:rFonts w:ascii="Arial" w:hAnsi="Arial" w:cs="Arial"/>
          <w:u w:val="single"/>
        </w:rPr>
        <w:t xml:space="preserve"> </w:t>
      </w:r>
    </w:p>
    <w:p w:rsidR="00B05AE2" w:rsidRPr="00635D0A" w:rsidRDefault="001E194B" w:rsidP="00DF6E72">
      <w:pPr>
        <w:pStyle w:val="En-tte"/>
        <w:pBdr>
          <w:top w:val="single" w:sz="4" w:space="6" w:color="auto"/>
          <w:left w:val="single" w:sz="4" w:space="4" w:color="auto"/>
          <w:bottom w:val="single" w:sz="4" w:space="6" w:color="auto"/>
          <w:right w:val="single" w:sz="4" w:space="4" w:color="auto"/>
        </w:pBdr>
        <w:spacing w:after="120" w:line="276" w:lineRule="auto"/>
        <w:jc w:val="both"/>
        <w:rPr>
          <w:rFonts w:ascii="Arial" w:hAnsi="Arial" w:cs="Arial"/>
        </w:rPr>
      </w:pPr>
      <w:r w:rsidRPr="00635D0A">
        <w:rPr>
          <w:rFonts w:ascii="Arial" w:hAnsi="Arial" w:cs="Arial"/>
        </w:rPr>
        <w:t>Le cyanure et le mercure, utilisés sans précaution pour l’extraction de l’or, contaminent les sols et les nappes phréatiques à jamais. Même après la fermeture des mines, les gravats traités au cyanure génèrent pendant des décennies des acides sulfuriques t</w:t>
      </w:r>
      <w:r w:rsidRPr="00635D0A">
        <w:rPr>
          <w:rFonts w:ascii="Arial" w:hAnsi="Arial" w:cs="Arial"/>
        </w:rPr>
        <w:t xml:space="preserve">oxiques. </w:t>
      </w:r>
    </w:p>
    <w:p w:rsidR="00B05AE2" w:rsidRPr="00635D0A" w:rsidRDefault="001E194B" w:rsidP="00DF6E72">
      <w:pPr>
        <w:pStyle w:val="En-tte"/>
        <w:pBdr>
          <w:top w:val="single" w:sz="4" w:space="6" w:color="auto"/>
          <w:left w:val="single" w:sz="4" w:space="4" w:color="auto"/>
          <w:bottom w:val="single" w:sz="4" w:space="6" w:color="auto"/>
          <w:right w:val="single" w:sz="4" w:space="4" w:color="auto"/>
        </w:pBdr>
        <w:spacing w:after="120" w:line="276" w:lineRule="auto"/>
        <w:jc w:val="both"/>
        <w:rPr>
          <w:rFonts w:ascii="Arial" w:hAnsi="Arial" w:cs="Arial"/>
        </w:rPr>
      </w:pPr>
      <w:r w:rsidRPr="00635D0A">
        <w:rPr>
          <w:rFonts w:ascii="Arial" w:hAnsi="Arial" w:cs="Arial"/>
        </w:rPr>
        <w:t xml:space="preserve">Le mercure peut se transformer dans l'environnement en méthyl-mercure. Ce méthyl-mercure tend à s'accumuler dans les eaux et dans les espèces aquatiques. […] </w:t>
      </w:r>
    </w:p>
    <w:p w:rsidR="00B05AE2" w:rsidRPr="00635D0A" w:rsidRDefault="001E194B" w:rsidP="00DF6E72">
      <w:pPr>
        <w:pStyle w:val="En-tte"/>
        <w:pBdr>
          <w:top w:val="single" w:sz="4" w:space="6" w:color="auto"/>
          <w:left w:val="single" w:sz="4" w:space="4" w:color="auto"/>
          <w:bottom w:val="single" w:sz="4" w:space="6" w:color="auto"/>
          <w:right w:val="single" w:sz="4" w:space="4" w:color="auto"/>
        </w:pBdr>
        <w:spacing w:after="120" w:line="276" w:lineRule="auto"/>
        <w:jc w:val="both"/>
        <w:rPr>
          <w:rFonts w:ascii="Arial" w:hAnsi="Arial"/>
        </w:rPr>
      </w:pPr>
      <w:r w:rsidRPr="00635D0A">
        <w:rPr>
          <w:rFonts w:ascii="Arial" w:hAnsi="Arial"/>
        </w:rPr>
        <w:t xml:space="preserve">Le méthyl-mercure a la capacité de provoquer </w:t>
      </w:r>
      <w:r>
        <w:rPr>
          <w:rFonts w:ascii="Arial" w:hAnsi="Arial"/>
        </w:rPr>
        <w:t>une réaction chimique dégradant l</w:t>
      </w:r>
      <w:r w:rsidRPr="00635D0A">
        <w:rPr>
          <w:rFonts w:ascii="Arial" w:hAnsi="Arial"/>
        </w:rPr>
        <w:t>es phosph</w:t>
      </w:r>
      <w:r w:rsidRPr="00635D0A">
        <w:rPr>
          <w:rFonts w:ascii="Arial" w:hAnsi="Arial"/>
        </w:rPr>
        <w:t>olipides de la membrane plasmique. Le méthyl-mercure peut pénétrer dans la cellule à travers ces membranes et peut se fixer sur certains organites notamment les mitochondries, et sur des protéines cytoplasmiques</w:t>
      </w:r>
      <w:r>
        <w:rPr>
          <w:rFonts w:ascii="Arial" w:hAnsi="Arial"/>
        </w:rPr>
        <w:t>, dont le fonctionnement est alors altéré.</w:t>
      </w:r>
      <w:r w:rsidRPr="00635D0A">
        <w:rPr>
          <w:rFonts w:ascii="Arial" w:hAnsi="Arial"/>
        </w:rPr>
        <w:t xml:space="preserve"> Les cellules nerveuses sont particulièrement touchées. </w:t>
      </w:r>
    </w:p>
    <w:p w:rsidR="00B05AE2" w:rsidRPr="00C26594" w:rsidRDefault="001E194B" w:rsidP="00C712A8">
      <w:pPr>
        <w:pBdr>
          <w:top w:val="single" w:sz="4" w:space="6" w:color="auto"/>
          <w:left w:val="single" w:sz="4" w:space="4" w:color="auto"/>
          <w:bottom w:val="single" w:sz="4" w:space="6" w:color="auto"/>
          <w:right w:val="single" w:sz="4" w:space="4" w:color="auto"/>
        </w:pBdr>
        <w:spacing w:after="120" w:line="276" w:lineRule="auto"/>
        <w:jc w:val="right"/>
        <w:rPr>
          <w:rFonts w:eastAsia="Times New Roman" w:cs="Arial"/>
          <w:sz w:val="20"/>
        </w:rPr>
      </w:pPr>
      <w:r w:rsidRPr="00C26594">
        <w:rPr>
          <w:rFonts w:eastAsia="Times New Roman" w:cs="Arial"/>
          <w:sz w:val="20"/>
          <w:lang w:val="en-US"/>
        </w:rPr>
        <w:t>D’après Segall H</w:t>
      </w:r>
      <w:r>
        <w:rPr>
          <w:rFonts w:eastAsia="Times New Roman" w:cs="Arial"/>
          <w:sz w:val="20"/>
          <w:lang w:val="en-US"/>
        </w:rPr>
        <w:t>.</w:t>
      </w:r>
      <w:r w:rsidRPr="00C26594">
        <w:rPr>
          <w:rFonts w:eastAsia="Times New Roman" w:cs="Arial"/>
          <w:sz w:val="20"/>
          <w:lang w:val="en-US"/>
        </w:rPr>
        <w:t>J</w:t>
      </w:r>
      <w:r>
        <w:rPr>
          <w:rFonts w:eastAsia="Times New Roman" w:cs="Arial"/>
          <w:sz w:val="20"/>
          <w:lang w:val="en-US"/>
        </w:rPr>
        <w:t>.</w:t>
      </w:r>
      <w:r w:rsidRPr="00C26594">
        <w:rPr>
          <w:rFonts w:eastAsia="Times New Roman" w:cs="Arial"/>
          <w:sz w:val="20"/>
          <w:lang w:val="en-US"/>
        </w:rPr>
        <w:t xml:space="preserve">, Wood J.M.(1974). Reaction of methyl mercury with plasmalogens suggests a mechanism for neurotoxicity of metal-alkyls. </w:t>
      </w:r>
      <w:r>
        <w:rPr>
          <w:rFonts w:eastAsia="Times New Roman" w:cs="Arial"/>
          <w:sz w:val="20"/>
        </w:rPr>
        <w:t>Nature, 248 : 456-8</w:t>
      </w:r>
    </w:p>
    <w:p w:rsidR="00C26594" w:rsidRDefault="001E194B"/>
    <w:tbl>
      <w:tblPr>
        <w:tblStyle w:val="Grilledutableau"/>
        <w:tblW w:w="9351" w:type="dxa"/>
        <w:jc w:val="center"/>
        <w:tblLook w:val="04A0" w:firstRow="1" w:lastRow="0" w:firstColumn="1" w:lastColumn="0" w:noHBand="0" w:noVBand="1"/>
      </w:tblPr>
      <w:tblGrid>
        <w:gridCol w:w="4849"/>
        <w:gridCol w:w="251"/>
        <w:gridCol w:w="4251"/>
      </w:tblGrid>
      <w:tr w:rsidR="00C26594" w:rsidRPr="00AA1868" w:rsidTr="005C4C21">
        <w:trPr>
          <w:jc w:val="center"/>
        </w:trPr>
        <w:tc>
          <w:tcPr>
            <w:tcW w:w="9351" w:type="dxa"/>
            <w:gridSpan w:val="3"/>
            <w:tcBorders>
              <w:bottom w:val="nil"/>
              <w:right w:val="single" w:sz="4" w:space="0" w:color="auto"/>
            </w:tcBorders>
          </w:tcPr>
          <w:p w:rsidR="00C26594" w:rsidRPr="00C26594" w:rsidRDefault="001E194B" w:rsidP="005C4C21">
            <w:pPr>
              <w:autoSpaceDE w:val="0"/>
              <w:autoSpaceDN w:val="0"/>
              <w:adjustRightInd w:val="0"/>
              <w:spacing w:before="120" w:after="240" w:line="240" w:lineRule="auto"/>
              <w:jc w:val="both"/>
              <w:rPr>
                <w:rFonts w:cs="Arial"/>
                <w:u w:val="single"/>
              </w:rPr>
            </w:pPr>
            <w:r>
              <w:br w:type="page"/>
            </w:r>
            <w:r w:rsidRPr="00C26594">
              <w:rPr>
                <w:rFonts w:cs="Arial"/>
                <w:u w:val="single"/>
              </w:rPr>
              <w:t xml:space="preserve">Document 3. Suivi microscopique de la </w:t>
            </w:r>
            <w:r w:rsidRPr="00C26594">
              <w:rPr>
                <w:rFonts w:cs="Arial"/>
                <w:u w:val="single"/>
              </w:rPr>
              <w:t>cr</w:t>
            </w:r>
            <w:r>
              <w:rPr>
                <w:rFonts w:cs="Arial"/>
                <w:u w:val="single"/>
              </w:rPr>
              <w:t>oissance de cellules nerveuses dans différentes conditions (</w:t>
            </w:r>
            <w:r w:rsidRPr="00C26594">
              <w:rPr>
                <w:rFonts w:cs="Arial"/>
                <w:u w:val="single"/>
              </w:rPr>
              <w:t>sans et avec exposition au méthyl-mercure</w:t>
            </w:r>
            <w:r>
              <w:rPr>
                <w:rFonts w:cs="Arial"/>
                <w:u w:val="single"/>
              </w:rPr>
              <w:t>)</w:t>
            </w:r>
          </w:p>
        </w:tc>
      </w:tr>
      <w:tr w:rsidR="00A2293D" w:rsidRPr="00AA1868" w:rsidTr="005C4C21">
        <w:trPr>
          <w:jc w:val="center"/>
        </w:trPr>
        <w:tc>
          <w:tcPr>
            <w:tcW w:w="4849" w:type="dxa"/>
            <w:tcBorders>
              <w:top w:val="nil"/>
              <w:bottom w:val="nil"/>
              <w:right w:val="nil"/>
            </w:tcBorders>
          </w:tcPr>
          <w:p w:rsidR="00A2293D" w:rsidRDefault="001E194B" w:rsidP="00AB3A84">
            <w:pPr>
              <w:autoSpaceDE w:val="0"/>
              <w:autoSpaceDN w:val="0"/>
              <w:adjustRightInd w:val="0"/>
              <w:spacing w:line="360" w:lineRule="auto"/>
              <w:jc w:val="both"/>
            </w:pPr>
            <w:r w:rsidRPr="0034519D">
              <w:rPr>
                <w:noProof/>
              </w:rPr>
              <w:drawing>
                <wp:inline distT="0" distB="0" distL="0" distR="0" wp14:anchorId="1E4165D2" wp14:editId="4DEBF078">
                  <wp:extent cx="2853055" cy="2056985"/>
                  <wp:effectExtent l="0" t="0" r="4445" b="635"/>
                  <wp:docPr id="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1"/>
                          <pic:cNvPicPr/>
                        </pic:nvPicPr>
                        <pic:blipFill rotWithShape="1">
                          <a:blip r:embed="rId13">
                            <a:extLst>
                              <a:ext uri="{28A0092B-C50C-407E-A947-70E740481C1C}">
                                <a14:useLocalDpi xmlns:a14="http://schemas.microsoft.com/office/drawing/2010/main" val="0"/>
                              </a:ext>
                            </a:extLst>
                          </a:blip>
                          <a:srcRect b="66404"/>
                          <a:stretch/>
                        </pic:blipFill>
                        <pic:spPr bwMode="auto">
                          <a:xfrm>
                            <a:off x="0" y="0"/>
                            <a:ext cx="2868321" cy="2067991"/>
                          </a:xfrm>
                          <a:prstGeom prst="rect">
                            <a:avLst/>
                          </a:prstGeom>
                          <a:ln>
                            <a:noFill/>
                          </a:ln>
                          <a:extLst>
                            <a:ext uri="{53640926-AAD7-44D8-BBD7-CCE9431645EC}">
                              <a14:shadowObscured xmlns:a14="http://schemas.microsoft.com/office/drawing/2010/main"/>
                            </a:ext>
                          </a:extLst>
                        </pic:spPr>
                      </pic:pic>
                    </a:graphicData>
                  </a:graphic>
                </wp:inline>
              </w:drawing>
            </w:r>
          </w:p>
        </w:tc>
        <w:tc>
          <w:tcPr>
            <w:tcW w:w="4502" w:type="dxa"/>
            <w:gridSpan w:val="2"/>
            <w:tcBorders>
              <w:top w:val="nil"/>
              <w:left w:val="nil"/>
              <w:bottom w:val="nil"/>
            </w:tcBorders>
          </w:tcPr>
          <w:p w:rsidR="00A2293D" w:rsidRPr="00C26594" w:rsidRDefault="001E194B" w:rsidP="00FF41DE">
            <w:pPr>
              <w:autoSpaceDE w:val="0"/>
              <w:autoSpaceDN w:val="0"/>
              <w:adjustRightInd w:val="0"/>
              <w:spacing w:line="240" w:lineRule="auto"/>
              <w:rPr>
                <w:rFonts w:cs="Arial"/>
              </w:rPr>
            </w:pPr>
            <w:r w:rsidRPr="00C26594">
              <w:rPr>
                <w:rFonts w:cs="Arial"/>
              </w:rPr>
              <w:t>La même cellule nerveuse est suivie, dans différentes conditions environnementales.</w:t>
            </w:r>
          </w:p>
          <w:p w:rsidR="00FF41DE" w:rsidRPr="00C26594" w:rsidRDefault="001E194B" w:rsidP="005C4C21">
            <w:pPr>
              <w:autoSpaceDE w:val="0"/>
              <w:autoSpaceDN w:val="0"/>
              <w:adjustRightInd w:val="0"/>
              <w:spacing w:line="240" w:lineRule="auto"/>
              <w:rPr>
                <w:rFonts w:cs="Arial"/>
              </w:rPr>
            </w:pPr>
          </w:p>
          <w:p w:rsidR="00A2293D" w:rsidRPr="00C26594" w:rsidRDefault="001E194B" w:rsidP="005C4C21">
            <w:pPr>
              <w:autoSpaceDE w:val="0"/>
              <w:autoSpaceDN w:val="0"/>
              <w:adjustRightInd w:val="0"/>
              <w:spacing w:line="240" w:lineRule="auto"/>
              <w:rPr>
                <w:rFonts w:cs="Arial"/>
              </w:rPr>
            </w:pPr>
            <w:r w:rsidRPr="00C26594">
              <w:rPr>
                <w:rFonts w:cs="Arial"/>
                <w:b/>
              </w:rPr>
              <w:t>a</w:t>
            </w:r>
            <w:r w:rsidRPr="00C26594">
              <w:rPr>
                <w:rFonts w:cs="Arial"/>
              </w:rPr>
              <w:t xml:space="preserve"> – </w:t>
            </w:r>
            <w:r>
              <w:rPr>
                <w:rFonts w:cs="Arial"/>
              </w:rPr>
              <w:t>A</w:t>
            </w:r>
            <w:r w:rsidRPr="00C26594">
              <w:rPr>
                <w:rFonts w:cs="Arial"/>
              </w:rPr>
              <w:t>vant exposition au méthyl-mercure.</w:t>
            </w:r>
          </w:p>
          <w:p w:rsidR="00A2293D" w:rsidRDefault="001E194B" w:rsidP="005C4C21">
            <w:pPr>
              <w:autoSpaceDE w:val="0"/>
              <w:autoSpaceDN w:val="0"/>
              <w:adjustRightInd w:val="0"/>
              <w:spacing w:line="240" w:lineRule="auto"/>
              <w:jc w:val="both"/>
            </w:pPr>
          </w:p>
        </w:tc>
      </w:tr>
      <w:tr w:rsidR="00AA599D" w:rsidRPr="00AA1868" w:rsidTr="005C4C21">
        <w:trPr>
          <w:jc w:val="center"/>
        </w:trPr>
        <w:tc>
          <w:tcPr>
            <w:tcW w:w="5100" w:type="dxa"/>
            <w:gridSpan w:val="2"/>
            <w:tcBorders>
              <w:top w:val="nil"/>
              <w:bottom w:val="nil"/>
              <w:right w:val="nil"/>
            </w:tcBorders>
          </w:tcPr>
          <w:p w:rsidR="00E007F3" w:rsidRPr="00C26594" w:rsidRDefault="001E194B" w:rsidP="005C4C21">
            <w:pPr>
              <w:pStyle w:val="En-tte"/>
              <w:rPr>
                <w:rFonts w:ascii="Arial" w:hAnsi="Arial" w:cs="Arial"/>
                <w:b/>
              </w:rPr>
            </w:pPr>
            <w:r w:rsidRPr="0034519D">
              <w:rPr>
                <w:noProof/>
              </w:rPr>
              <w:lastRenderedPageBreak/>
              <w:drawing>
                <wp:inline distT="0" distB="0" distL="0" distR="0" wp14:anchorId="5F3E616A" wp14:editId="5CC2CB90">
                  <wp:extent cx="2853631" cy="4009390"/>
                  <wp:effectExtent l="0" t="0" r="4445" b="0"/>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1"/>
                          <pic:cNvPicPr/>
                        </pic:nvPicPr>
                        <pic:blipFill rotWithShape="1">
                          <a:blip r:embed="rId13">
                            <a:extLst>
                              <a:ext uri="{28A0092B-C50C-407E-A947-70E740481C1C}">
                                <a14:useLocalDpi xmlns:a14="http://schemas.microsoft.com/office/drawing/2010/main" val="0"/>
                              </a:ext>
                            </a:extLst>
                          </a:blip>
                          <a:srcRect t="34529"/>
                          <a:stretch/>
                        </pic:blipFill>
                        <pic:spPr bwMode="auto">
                          <a:xfrm>
                            <a:off x="0" y="0"/>
                            <a:ext cx="2868321" cy="4030030"/>
                          </a:xfrm>
                          <a:prstGeom prst="rect">
                            <a:avLst/>
                          </a:prstGeom>
                          <a:ln>
                            <a:noFill/>
                          </a:ln>
                          <a:extLst>
                            <a:ext uri="{53640926-AAD7-44D8-BBD7-CCE9431645EC}">
                              <a14:shadowObscured xmlns:a14="http://schemas.microsoft.com/office/drawing/2010/main"/>
                            </a:ext>
                          </a:extLst>
                        </pic:spPr>
                      </pic:pic>
                    </a:graphicData>
                  </a:graphic>
                </wp:inline>
              </w:drawing>
            </w:r>
          </w:p>
        </w:tc>
        <w:tc>
          <w:tcPr>
            <w:tcW w:w="4251" w:type="dxa"/>
            <w:tcBorders>
              <w:top w:val="nil"/>
              <w:left w:val="nil"/>
              <w:bottom w:val="nil"/>
            </w:tcBorders>
          </w:tcPr>
          <w:p w:rsidR="00FF089C" w:rsidRDefault="001E194B" w:rsidP="005C4C21">
            <w:pPr>
              <w:autoSpaceDE w:val="0"/>
              <w:autoSpaceDN w:val="0"/>
              <w:adjustRightInd w:val="0"/>
              <w:spacing w:line="240" w:lineRule="auto"/>
              <w:rPr>
                <w:rFonts w:cs="Arial"/>
              </w:rPr>
            </w:pPr>
          </w:p>
          <w:p w:rsidR="00AA599D" w:rsidRPr="00C26594" w:rsidRDefault="001E194B" w:rsidP="005C4C21">
            <w:pPr>
              <w:autoSpaceDE w:val="0"/>
              <w:autoSpaceDN w:val="0"/>
              <w:adjustRightInd w:val="0"/>
              <w:spacing w:line="240" w:lineRule="auto"/>
              <w:rPr>
                <w:rFonts w:cs="Arial"/>
                <w:b/>
              </w:rPr>
            </w:pPr>
          </w:p>
          <w:p w:rsidR="00FF41DE" w:rsidRPr="00C26594" w:rsidRDefault="001E194B" w:rsidP="005C4C21">
            <w:pPr>
              <w:autoSpaceDE w:val="0"/>
              <w:autoSpaceDN w:val="0"/>
              <w:adjustRightInd w:val="0"/>
              <w:spacing w:line="240" w:lineRule="auto"/>
              <w:rPr>
                <w:rFonts w:cs="Arial"/>
                <w:b/>
              </w:rPr>
            </w:pPr>
          </w:p>
          <w:p w:rsidR="00AA599D" w:rsidRPr="00C26594" w:rsidRDefault="001E194B" w:rsidP="005C4C21">
            <w:pPr>
              <w:autoSpaceDE w:val="0"/>
              <w:autoSpaceDN w:val="0"/>
              <w:adjustRightInd w:val="0"/>
              <w:spacing w:line="240" w:lineRule="auto"/>
              <w:rPr>
                <w:rFonts w:cs="Arial"/>
              </w:rPr>
            </w:pPr>
            <w:r w:rsidRPr="00C26594">
              <w:rPr>
                <w:rFonts w:cs="Arial"/>
                <w:b/>
              </w:rPr>
              <w:t xml:space="preserve">b </w:t>
            </w:r>
            <w:r w:rsidRPr="00C26594">
              <w:rPr>
                <w:rFonts w:cs="Arial"/>
              </w:rPr>
              <w:t xml:space="preserve">– </w:t>
            </w:r>
            <w:r>
              <w:rPr>
                <w:rFonts w:cs="Arial"/>
              </w:rPr>
              <w:t>A</w:t>
            </w:r>
            <w:r w:rsidRPr="00C26594">
              <w:rPr>
                <w:rFonts w:cs="Arial"/>
              </w:rPr>
              <w:t xml:space="preserve">près une </w:t>
            </w:r>
            <w:r w:rsidRPr="00C26594">
              <w:rPr>
                <w:rFonts w:cs="Arial"/>
              </w:rPr>
              <w:t>exposition de 10</w:t>
            </w:r>
            <w:r>
              <w:rPr>
                <w:rFonts w:cs="Arial"/>
              </w:rPr>
              <w:t> </w:t>
            </w:r>
            <w:r w:rsidRPr="00C26594">
              <w:rPr>
                <w:rFonts w:cs="Arial"/>
              </w:rPr>
              <w:t>minutes au méthyl-mercure.</w:t>
            </w:r>
          </w:p>
          <w:p w:rsidR="00AA599D" w:rsidRDefault="001E194B" w:rsidP="005C4C21">
            <w:pPr>
              <w:autoSpaceDE w:val="0"/>
              <w:autoSpaceDN w:val="0"/>
              <w:adjustRightInd w:val="0"/>
              <w:spacing w:line="240" w:lineRule="auto"/>
              <w:rPr>
                <w:rFonts w:cs="Arial"/>
                <w:b/>
              </w:rPr>
            </w:pPr>
          </w:p>
          <w:p w:rsidR="00FF41DE" w:rsidRPr="00C26594" w:rsidRDefault="001E194B" w:rsidP="00FF41DE">
            <w:pPr>
              <w:autoSpaceDE w:val="0"/>
              <w:autoSpaceDN w:val="0"/>
              <w:adjustRightInd w:val="0"/>
              <w:spacing w:after="0" w:line="240" w:lineRule="auto"/>
              <w:rPr>
                <w:rFonts w:cs="Arial"/>
                <w:b/>
              </w:rPr>
            </w:pPr>
          </w:p>
          <w:p w:rsidR="00AA599D" w:rsidRPr="00C26594" w:rsidRDefault="001E194B" w:rsidP="005C4C21">
            <w:pPr>
              <w:autoSpaceDE w:val="0"/>
              <w:autoSpaceDN w:val="0"/>
              <w:adjustRightInd w:val="0"/>
              <w:spacing w:line="240" w:lineRule="auto"/>
              <w:rPr>
                <w:rFonts w:cs="Arial"/>
                <w:b/>
              </w:rPr>
            </w:pPr>
          </w:p>
          <w:p w:rsidR="00AA599D" w:rsidRPr="00C26594" w:rsidRDefault="001E194B" w:rsidP="005C4C21">
            <w:pPr>
              <w:autoSpaceDE w:val="0"/>
              <w:autoSpaceDN w:val="0"/>
              <w:adjustRightInd w:val="0"/>
              <w:spacing w:line="240" w:lineRule="auto"/>
              <w:rPr>
                <w:rFonts w:cs="Arial"/>
                <w:b/>
              </w:rPr>
            </w:pPr>
          </w:p>
          <w:p w:rsidR="00141268" w:rsidRPr="00C26594" w:rsidRDefault="001E194B" w:rsidP="005C4C21">
            <w:pPr>
              <w:autoSpaceDE w:val="0"/>
              <w:autoSpaceDN w:val="0"/>
              <w:adjustRightInd w:val="0"/>
              <w:spacing w:line="240" w:lineRule="auto"/>
              <w:rPr>
                <w:rFonts w:cs="Arial"/>
                <w:b/>
              </w:rPr>
            </w:pPr>
          </w:p>
          <w:p w:rsidR="00141268" w:rsidRPr="00C26594" w:rsidRDefault="001E194B" w:rsidP="005C4C21">
            <w:pPr>
              <w:autoSpaceDE w:val="0"/>
              <w:autoSpaceDN w:val="0"/>
              <w:adjustRightInd w:val="0"/>
              <w:spacing w:line="240" w:lineRule="auto"/>
              <w:rPr>
                <w:rFonts w:cs="Arial"/>
                <w:b/>
              </w:rPr>
            </w:pPr>
          </w:p>
          <w:p w:rsidR="00AA599D" w:rsidRPr="00C26594" w:rsidRDefault="001E194B" w:rsidP="005C4C21">
            <w:pPr>
              <w:autoSpaceDE w:val="0"/>
              <w:autoSpaceDN w:val="0"/>
              <w:adjustRightInd w:val="0"/>
              <w:spacing w:line="240" w:lineRule="auto"/>
              <w:rPr>
                <w:rFonts w:cs="Arial"/>
              </w:rPr>
            </w:pPr>
            <w:r w:rsidRPr="00C26594">
              <w:rPr>
                <w:rFonts w:cs="Arial"/>
                <w:b/>
              </w:rPr>
              <w:t>c</w:t>
            </w:r>
            <w:r w:rsidRPr="00C26594">
              <w:rPr>
                <w:rFonts w:cs="Arial"/>
              </w:rPr>
              <w:t xml:space="preserve"> –</w:t>
            </w:r>
            <w:r>
              <w:rPr>
                <w:rFonts w:cs="Arial"/>
              </w:rPr>
              <w:t xml:space="preserve"> A</w:t>
            </w:r>
            <w:r w:rsidRPr="00C26594">
              <w:rPr>
                <w:rFonts w:cs="Arial"/>
              </w:rPr>
              <w:t>près une exposition de 40</w:t>
            </w:r>
            <w:r>
              <w:rPr>
                <w:rFonts w:cs="Arial"/>
              </w:rPr>
              <w:t> </w:t>
            </w:r>
            <w:r w:rsidRPr="00C26594">
              <w:rPr>
                <w:rFonts w:cs="Arial"/>
              </w:rPr>
              <w:t xml:space="preserve">minutes au méthyl-mercure. </w:t>
            </w:r>
          </w:p>
        </w:tc>
      </w:tr>
      <w:tr w:rsidR="00AA599D" w:rsidRPr="008E0B44" w:rsidTr="005C4C21">
        <w:trPr>
          <w:jc w:val="center"/>
        </w:trPr>
        <w:tc>
          <w:tcPr>
            <w:tcW w:w="9351" w:type="dxa"/>
            <w:gridSpan w:val="3"/>
            <w:tcBorders>
              <w:top w:val="nil"/>
              <w:bottom w:val="single" w:sz="4" w:space="0" w:color="auto"/>
            </w:tcBorders>
          </w:tcPr>
          <w:p w:rsidR="00FF089C" w:rsidRDefault="001E194B" w:rsidP="00D43312">
            <w:pPr>
              <w:autoSpaceDE w:val="0"/>
              <w:autoSpaceDN w:val="0"/>
              <w:adjustRightInd w:val="0"/>
              <w:spacing w:before="240" w:after="120" w:line="276" w:lineRule="auto"/>
              <w:rPr>
                <w:rFonts w:cs="Arial"/>
              </w:rPr>
            </w:pPr>
            <w:r w:rsidRPr="00C26594">
              <w:rPr>
                <w:rFonts w:cs="Arial"/>
              </w:rPr>
              <w:t>La barre d’échelle visible en bas à droite des photographies mesure 30 µm.</w:t>
            </w:r>
            <w:r>
              <w:rPr>
                <w:rFonts w:cs="Arial"/>
              </w:rPr>
              <w:t xml:space="preserve"> </w:t>
            </w:r>
          </w:p>
          <w:p w:rsidR="00D15700" w:rsidRPr="00C26594" w:rsidRDefault="001E194B" w:rsidP="00202DA6">
            <w:pPr>
              <w:autoSpaceDE w:val="0"/>
              <w:autoSpaceDN w:val="0"/>
              <w:adjustRightInd w:val="0"/>
              <w:spacing w:after="120" w:line="276" w:lineRule="auto"/>
              <w:rPr>
                <w:rFonts w:cs="Arial"/>
              </w:rPr>
            </w:pPr>
            <w:r w:rsidRPr="00C26594">
              <w:rPr>
                <w:rFonts w:cs="Arial"/>
              </w:rPr>
              <w:t>La flèche noire permet de comparer un même point sur chaque image.</w:t>
            </w:r>
          </w:p>
          <w:p w:rsidR="00AA599D" w:rsidRPr="008E0B44" w:rsidRDefault="001E194B" w:rsidP="00202DA6">
            <w:pPr>
              <w:autoSpaceDE w:val="0"/>
              <w:autoSpaceDN w:val="0"/>
              <w:adjustRightInd w:val="0"/>
              <w:spacing w:after="120" w:line="276" w:lineRule="auto"/>
              <w:jc w:val="right"/>
              <w:rPr>
                <w:rFonts w:cs="Arial"/>
                <w:lang w:val="en-US"/>
              </w:rPr>
            </w:pPr>
            <w:r w:rsidRPr="00202DA6">
              <w:rPr>
                <w:rFonts w:cs="Arial"/>
                <w:noProof/>
                <w:sz w:val="20"/>
                <w:lang w:val="en-US"/>
              </w:rPr>
              <w:t>D’après Retrograde degeneration of neurite […</w:t>
            </w:r>
            <w:r>
              <w:rPr>
                <w:rFonts w:cs="Arial"/>
                <w:noProof/>
                <w:sz w:val="20"/>
                <w:lang w:val="en-US"/>
              </w:rPr>
              <w:t>] in vitro exposure to mercury,</w:t>
            </w:r>
            <w:r>
              <w:rPr>
                <w:rFonts w:cs="Arial"/>
                <w:noProof/>
                <w:sz w:val="20"/>
                <w:lang w:val="en-US"/>
              </w:rPr>
              <w:br/>
            </w:r>
            <w:r w:rsidRPr="00202DA6">
              <w:rPr>
                <w:rFonts w:cs="Arial"/>
                <w:noProof/>
                <w:sz w:val="20"/>
                <w:lang w:val="en-US"/>
              </w:rPr>
              <w:t>Christopher C. W.</w:t>
            </w:r>
            <w:r>
              <w:rPr>
                <w:rFonts w:cs="Arial"/>
                <w:noProof/>
                <w:sz w:val="20"/>
                <w:lang w:val="en-US"/>
              </w:rPr>
              <w:t>, Leong et al. – NeuroReport – Dé</w:t>
            </w:r>
            <w:r w:rsidRPr="00202DA6">
              <w:rPr>
                <w:rFonts w:cs="Arial"/>
                <w:noProof/>
                <w:sz w:val="20"/>
                <w:lang w:val="en-US"/>
              </w:rPr>
              <w:t>cembre 2000</w:t>
            </w:r>
          </w:p>
        </w:tc>
      </w:tr>
    </w:tbl>
    <w:p w:rsidR="00FF089C" w:rsidRPr="008E0B44" w:rsidRDefault="001E194B" w:rsidP="00C26594">
      <w:pPr>
        <w:pStyle w:val="En-tte"/>
        <w:spacing w:after="120" w:line="276" w:lineRule="auto"/>
        <w:rPr>
          <w:rFonts w:ascii="Arial" w:hAnsi="Arial"/>
          <w:b/>
          <w:lang w:val="en-US"/>
        </w:rPr>
      </w:pPr>
    </w:p>
    <w:p w:rsidR="00FF089C" w:rsidRDefault="001E194B" w:rsidP="00D43312">
      <w:pPr>
        <w:pStyle w:val="En-tte"/>
        <w:spacing w:after="120" w:line="276" w:lineRule="auto"/>
        <w:jc w:val="both"/>
        <w:rPr>
          <w:rFonts w:ascii="Arial" w:hAnsi="Arial"/>
        </w:rPr>
      </w:pPr>
      <w:r>
        <w:rPr>
          <w:rFonts w:ascii="Arial" w:hAnsi="Arial"/>
          <w:b/>
        </w:rPr>
        <w:t>4</w:t>
      </w:r>
      <w:r w:rsidRPr="00C26594">
        <w:rPr>
          <w:rFonts w:ascii="Arial" w:hAnsi="Arial"/>
          <w:b/>
        </w:rPr>
        <w:t>-</w:t>
      </w:r>
      <w:r w:rsidRPr="00AA1868">
        <w:rPr>
          <w:rFonts w:ascii="Arial" w:hAnsi="Arial"/>
        </w:rPr>
        <w:t xml:space="preserve"> </w:t>
      </w:r>
      <w:r w:rsidRPr="00C26594">
        <w:rPr>
          <w:rFonts w:ascii="Arial" w:hAnsi="Arial"/>
        </w:rPr>
        <w:t>À partir de l’exploitation des do</w:t>
      </w:r>
      <w:r>
        <w:rPr>
          <w:rFonts w:ascii="Arial" w:hAnsi="Arial"/>
        </w:rPr>
        <w:t>cuments et de vos connaissances</w:t>
      </w:r>
      <w:r w:rsidRPr="00C26594">
        <w:rPr>
          <w:rFonts w:ascii="Arial" w:hAnsi="Arial"/>
        </w:rPr>
        <w:t>,</w:t>
      </w:r>
      <w:r w:rsidRPr="00C26594">
        <w:rPr>
          <w:rFonts w:ascii="Arial" w:hAnsi="Arial"/>
          <w:b/>
        </w:rPr>
        <w:t xml:space="preserve"> </w:t>
      </w:r>
      <w:r w:rsidRPr="00C26594">
        <w:rPr>
          <w:rFonts w:ascii="Arial" w:hAnsi="Arial"/>
        </w:rPr>
        <w:t xml:space="preserve">expliquer l’origine cellulaire des symptômes présentés par les individus </w:t>
      </w:r>
      <w:r>
        <w:rPr>
          <w:rFonts w:ascii="Arial" w:hAnsi="Arial"/>
        </w:rPr>
        <w:t xml:space="preserve">fortement exposés au mercure. </w:t>
      </w:r>
    </w:p>
    <w:p w:rsidR="007A3757" w:rsidRPr="00AA1868" w:rsidRDefault="001E194B" w:rsidP="00D43312">
      <w:pPr>
        <w:pStyle w:val="En-tte"/>
        <w:spacing w:after="120" w:line="276" w:lineRule="auto"/>
        <w:jc w:val="both"/>
        <w:rPr>
          <w:rFonts w:ascii="Arial" w:hAnsi="Arial"/>
        </w:rPr>
      </w:pPr>
      <w:r>
        <w:rPr>
          <w:rFonts w:ascii="Arial" w:hAnsi="Arial"/>
        </w:rPr>
        <w:t>Une réponse argumentée</w:t>
      </w:r>
      <w:r w:rsidRPr="00C26594">
        <w:rPr>
          <w:rFonts w:ascii="Arial" w:hAnsi="Arial"/>
        </w:rPr>
        <w:t xml:space="preserve"> structurée est attendue. Elle ne doit pas excéder une page. </w:t>
      </w:r>
      <w:r>
        <w:br w:type="page"/>
      </w:r>
    </w:p>
    <w:p w:rsidR="004B7A0F" w:rsidRPr="00A77456" w:rsidRDefault="001E194B" w:rsidP="004B7A0F">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première</w:t>
      </w:r>
    </w:p>
    <w:p w:rsidR="004B7A0F" w:rsidRPr="00A77456" w:rsidRDefault="001E194B" w:rsidP="004B7A0F">
      <w:pPr>
        <w:spacing w:after="240"/>
        <w:jc w:val="center"/>
        <w:rPr>
          <w:rFonts w:eastAsia="Arial" w:cs="Arial"/>
          <w:i/>
        </w:rPr>
      </w:pPr>
      <w:r w:rsidRPr="00A77456">
        <w:rPr>
          <w:rFonts w:eastAsia="Arial" w:cs="Arial"/>
          <w:i/>
        </w:rPr>
        <w:t>Thème « </w:t>
      </w:r>
      <w:r>
        <w:rPr>
          <w:rFonts w:eastAsia="Arial" w:cs="Arial"/>
          <w:i/>
        </w:rPr>
        <w:t xml:space="preserve">La Terre, un astre </w:t>
      </w:r>
      <w:r>
        <w:rPr>
          <w:rFonts w:eastAsia="Arial" w:cs="Arial"/>
          <w:i/>
        </w:rPr>
        <w:t>singulier »</w:t>
      </w:r>
    </w:p>
    <w:p w:rsidR="004B7A0F" w:rsidRPr="00D87AD1" w:rsidRDefault="001E194B" w:rsidP="004B7A0F">
      <w:pPr>
        <w:spacing w:after="120"/>
        <w:rPr>
          <w:b/>
          <w:sz w:val="22"/>
        </w:rPr>
      </w:pPr>
      <w:r>
        <w:rPr>
          <w:b/>
          <w:sz w:val="28"/>
        </w:rPr>
        <w:t>Approche historique de l’âge de la Terre</w:t>
      </w:r>
    </w:p>
    <w:p w:rsidR="004B7A0F" w:rsidRPr="000E2C8B" w:rsidRDefault="001E194B" w:rsidP="00666B04">
      <w:pPr>
        <w:spacing w:after="240"/>
        <w:rPr>
          <w:i/>
        </w:rPr>
      </w:pPr>
      <w:r w:rsidRPr="00D74F67">
        <w:rPr>
          <w:i/>
        </w:rPr>
        <w:t>Sur 10 points</w:t>
      </w:r>
    </w:p>
    <w:p w:rsidR="00D22071" w:rsidRPr="00F930E2" w:rsidDel="00D22071" w:rsidRDefault="001E194B" w:rsidP="00CB342A">
      <w:pPr>
        <w:spacing w:after="120"/>
        <w:jc w:val="both"/>
        <w:rPr>
          <w:rFonts w:cs="Arial"/>
          <w:bCs/>
        </w:rPr>
      </w:pPr>
      <w:r w:rsidRPr="00F930E2">
        <w:rPr>
          <w:rFonts w:cs="Arial"/>
          <w:bCs/>
        </w:rPr>
        <w:t>De</w:t>
      </w:r>
      <w:r>
        <w:rPr>
          <w:rFonts w:cs="Arial"/>
          <w:bCs/>
        </w:rPr>
        <w:t>puis</w:t>
      </w:r>
      <w:r w:rsidRPr="00F930E2">
        <w:rPr>
          <w:rFonts w:cs="Arial"/>
          <w:bCs/>
        </w:rPr>
        <w:t xml:space="preserve"> l’Antiquité, la question de l’âge de la Terre a soulevé de nombreuses controverses. On se propose d’étudier différentes méthodes ayant permis d’estimer l’âge de la Terre</w:t>
      </w:r>
      <w:r>
        <w:rPr>
          <w:rFonts w:cs="Arial"/>
          <w:bCs/>
        </w:rPr>
        <w:t xml:space="preserve"> au cours de l’histoire des sciences</w:t>
      </w:r>
      <w:r w:rsidRPr="00F930E2">
        <w:rPr>
          <w:rFonts w:cs="Arial"/>
          <w:bCs/>
        </w:rPr>
        <w:t>.</w:t>
      </w:r>
      <w:r>
        <w:rPr>
          <w:rFonts w:cs="Arial"/>
          <w:bCs/>
        </w:rPr>
        <w:t xml:space="preserve"> </w:t>
      </w:r>
    </w:p>
    <w:p w:rsidR="00FE638C" w:rsidRPr="00F850B0" w:rsidRDefault="001E194B" w:rsidP="002E22B3">
      <w:pPr>
        <w:spacing w:before="240" w:after="120"/>
        <w:jc w:val="both"/>
        <w:rPr>
          <w:rFonts w:cs="Arial"/>
          <w:u w:val="single"/>
        </w:rPr>
      </w:pPr>
      <w:r w:rsidRPr="00F850B0">
        <w:rPr>
          <w:rFonts w:cs="Arial"/>
          <w:u w:val="single"/>
        </w:rPr>
        <w:t>Partie A. Les précurseurs</w:t>
      </w:r>
      <w:r>
        <w:rPr>
          <w:rFonts w:cs="Arial"/>
          <w:u w:val="single"/>
        </w:rPr>
        <w:t> :</w:t>
      </w:r>
      <w:r w:rsidRPr="00F850B0">
        <w:rPr>
          <w:rFonts w:cs="Arial"/>
          <w:u w:val="single"/>
        </w:rPr>
        <w:t xml:space="preserve"> Buffon et Kelvin</w:t>
      </w:r>
    </w:p>
    <w:p w:rsidR="00DD300D" w:rsidRPr="00F850B0" w:rsidRDefault="001E194B" w:rsidP="00CB342A">
      <w:pPr>
        <w:spacing w:before="240" w:after="120"/>
        <w:ind w:left="284"/>
        <w:jc w:val="both"/>
        <w:rPr>
          <w:rFonts w:cs="Arial"/>
        </w:rPr>
      </w:pPr>
      <w:r w:rsidRPr="00CB342A">
        <w:rPr>
          <w:rFonts w:cs="Arial"/>
        </w:rPr>
        <w:t xml:space="preserve">• </w:t>
      </w:r>
      <w:r w:rsidRPr="00F850B0">
        <w:rPr>
          <w:rFonts w:cs="Arial"/>
          <w:u w:val="single"/>
        </w:rPr>
        <w:t>La démarche de Buffon</w:t>
      </w:r>
    </w:p>
    <w:p w:rsidR="000236F1" w:rsidRPr="00F930E2" w:rsidRDefault="001E194B" w:rsidP="002E22B3">
      <w:pPr>
        <w:tabs>
          <w:tab w:val="left" w:pos="7950"/>
        </w:tabs>
        <w:spacing w:after="120"/>
        <w:jc w:val="both"/>
        <w:rPr>
          <w:rFonts w:cs="Arial"/>
          <w:bCs/>
        </w:rPr>
      </w:pPr>
      <w:r w:rsidRPr="00F930E2">
        <w:rPr>
          <w:rFonts w:cs="Arial"/>
          <w:bCs/>
        </w:rPr>
        <w:t>Georges Louis Leclerc, comte de Buffon, est le premier à réaliser une expérience pour déterminer l’âge de la Terre. Partant de l’hypothèse que la Te</w:t>
      </w:r>
      <w:r w:rsidRPr="00F930E2">
        <w:rPr>
          <w:rFonts w:cs="Arial"/>
          <w:bCs/>
        </w:rPr>
        <w:t>rre a d’abord été une sphère de matière en fusion qui a refroidi, il chauffe au rouge 10 boulets de fer forg</w:t>
      </w:r>
      <w:r>
        <w:rPr>
          <w:rFonts w:cs="Arial"/>
          <w:bCs/>
        </w:rPr>
        <w:t>é de tailles différentes et</w:t>
      </w:r>
      <w:r w:rsidRPr="00F930E2">
        <w:rPr>
          <w:rFonts w:cs="Arial"/>
          <w:bCs/>
        </w:rPr>
        <w:t xml:space="preserve"> inférieures à 5 pouces (1 pouce = 2,54 cm). Buffon mesure la durée de leur refroidissement et extrapole ensuite ses résu</w:t>
      </w:r>
      <w:r w:rsidRPr="00F930E2">
        <w:rPr>
          <w:rFonts w:cs="Arial"/>
          <w:bCs/>
        </w:rPr>
        <w:t xml:space="preserve">ltats au globe terrestre, dont le diamètre </w:t>
      </w:r>
      <w:r>
        <w:rPr>
          <w:rFonts w:cs="Arial"/>
          <w:bCs/>
        </w:rPr>
        <w:t>connu à l’époque est</w:t>
      </w:r>
      <w:r w:rsidRPr="00F930E2">
        <w:rPr>
          <w:rFonts w:cs="Arial"/>
          <w:bCs/>
        </w:rPr>
        <w:t xml:space="preserve"> </w:t>
      </w:r>
      <w:r>
        <w:rPr>
          <w:rFonts w:cs="Arial"/>
          <w:bCs/>
        </w:rPr>
        <w:t xml:space="preserve">proche de 13 000 </w:t>
      </w:r>
      <w:r w:rsidRPr="00F930E2">
        <w:rPr>
          <w:rFonts w:cs="Arial"/>
          <w:bCs/>
        </w:rPr>
        <w:t>km.</w:t>
      </w:r>
      <w:r>
        <w:rPr>
          <w:rFonts w:cs="Arial"/>
          <w:bCs/>
        </w:rPr>
        <w:t xml:space="preserve"> Pendant plusieurs années et avec des métaux différents, il effectuera plus de 60 expériences, chacune répétée trois fois. </w:t>
      </w:r>
    </w:p>
    <w:tbl>
      <w:tblPr>
        <w:tblStyle w:val="Grilledutableau"/>
        <w:tblW w:w="0" w:type="auto"/>
        <w:tblLook w:val="04A0" w:firstRow="1" w:lastRow="0" w:firstColumn="1" w:lastColumn="0" w:noHBand="0" w:noVBand="1"/>
      </w:tblPr>
      <w:tblGrid>
        <w:gridCol w:w="9060"/>
      </w:tblGrid>
      <w:tr w:rsidR="005B6CCE" w:rsidRPr="005B6CCE" w:rsidTr="00BC50D5">
        <w:trPr>
          <w:trHeight w:val="5216"/>
        </w:trPr>
        <w:tc>
          <w:tcPr>
            <w:tcW w:w="9060" w:type="dxa"/>
          </w:tcPr>
          <w:p w:rsidR="005B6CCE" w:rsidRPr="005B6CCE" w:rsidRDefault="001E194B" w:rsidP="0058478B">
            <w:pPr>
              <w:spacing w:before="120" w:after="0"/>
              <w:jc w:val="both"/>
              <w:rPr>
                <w:rFonts w:cs="Arial"/>
                <w:bCs/>
                <w:u w:val="single"/>
              </w:rPr>
            </w:pPr>
            <w:r w:rsidRPr="005B6CCE">
              <w:rPr>
                <w:rFonts w:cs="Arial"/>
                <w:bCs/>
                <w:noProof/>
              </w:rPr>
              <w:drawing>
                <wp:anchor distT="0" distB="0" distL="114300" distR="114300" simplePos="0" relativeHeight="251698176" behindDoc="1" locked="0" layoutInCell="1" allowOverlap="1" wp14:anchorId="28A1985D" wp14:editId="5A5EF3E9">
                  <wp:simplePos x="0" y="0"/>
                  <wp:positionH relativeFrom="column">
                    <wp:posOffset>180340</wp:posOffset>
                  </wp:positionH>
                  <wp:positionV relativeFrom="paragraph">
                    <wp:posOffset>-31750</wp:posOffset>
                  </wp:positionV>
                  <wp:extent cx="5401945" cy="3512820"/>
                  <wp:effectExtent l="0" t="0" r="0" b="0"/>
                  <wp:wrapNone/>
                  <wp:docPr id="6" name="G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r>
              <w:rPr>
                <w:rFonts w:cs="Arial"/>
                <w:bCs/>
                <w:noProof/>
              </w:rPr>
              <w:pict w14:anchorId="08BF7E26">
                <v:shapetype id="_x0000_t202" coordsize="21600,21600" o:spt="202" path="m,l,21600r21600,l21600,xe">
                  <v:stroke joinstyle="miter"/>
                  <v:path gradientshapeok="t" o:connecttype="rect"/>
                </v:shapetype>
                <v:shape id="_x0000_s1042" type="#_x0000_t202" alt="" style="position:absolute;left:0;text-align:left;margin-left:9.75pt;margin-top:23pt;width:99pt;height:32.25pt;z-index:251696128;mso-wrap-style:square;mso-wrap-edited:f;mso-width-percent:0;mso-position-horizontal-relative:text;mso-position-vertical-relative:text;mso-width-percent:0;v-text-anchor:top" wrapcoords="0 0 21600 0 21600 21600 0 21600 0 0" filled="f" stroked="f">
                  <v:textbox style="mso-next-textbox:#_x0000_s1042" inset=",7.2pt,,7.2pt">
                    <w:txbxContent>
                      <w:p w:rsidR="005B6CCE" w:rsidRPr="00F850B0" w:rsidRDefault="001E194B">
                        <w:r>
                          <w:t>Temps en min</w:t>
                        </w:r>
                      </w:p>
                    </w:txbxContent>
                  </v:textbox>
                </v:shape>
              </w:pict>
            </w:r>
            <w:r w:rsidRPr="005B6CCE">
              <w:rPr>
                <w:rFonts w:cs="Arial"/>
                <w:bCs/>
                <w:u w:val="single"/>
              </w:rPr>
              <w:t xml:space="preserve">Document 1. Temps de refroidissement des boulets de canon </w:t>
            </w:r>
            <w:r>
              <w:rPr>
                <w:rFonts w:cs="Arial"/>
                <w:bCs/>
                <w:u w:val="single"/>
              </w:rPr>
              <w:t>selon</w:t>
            </w:r>
            <w:r w:rsidRPr="005B6CCE">
              <w:rPr>
                <w:rFonts w:cs="Arial"/>
                <w:bCs/>
                <w:u w:val="single"/>
              </w:rPr>
              <w:t xml:space="preserve"> leur rayon</w:t>
            </w:r>
          </w:p>
          <w:p w:rsidR="005B6CCE" w:rsidRPr="005B6CCE" w:rsidRDefault="001E194B" w:rsidP="00212304">
            <w:pPr>
              <w:tabs>
                <w:tab w:val="left" w:pos="7950"/>
              </w:tabs>
              <w:spacing w:after="0"/>
              <w:rPr>
                <w:rFonts w:cs="Arial"/>
                <w:bCs/>
                <w:u w:val="single"/>
              </w:rPr>
            </w:pPr>
            <w:r>
              <w:rPr>
                <w:rFonts w:cs="Arial"/>
                <w:bCs/>
                <w:noProof/>
              </w:rPr>
              <w:pict w14:anchorId="35572450">
                <v:shape id="_x0000_s1043" type="#_x0000_t202" alt="" style="position:absolute;margin-left:374.25pt;margin-top:188pt;width:54pt;height:45.95pt;z-index:251697152;mso-wrap-style:square;mso-wrap-edited:f;mso-width-percent:0;mso-position-horizontal-relative:text;mso-position-vertical-relative:text;mso-width-percent:0;v-text-anchor:top" wrapcoords="0 0 21600 0 21600 21600 0 21600 0 0" filled="f" stroked="f">
                  <v:textbox style="mso-next-textbox:#_x0000_s1043" inset=",7.2pt,,7.2pt">
                    <w:txbxContent>
                      <w:p w:rsidR="005B6CCE" w:rsidRDefault="001E194B" w:rsidP="00F850B0">
                        <w:pPr>
                          <w:spacing w:after="0" w:line="240" w:lineRule="auto"/>
                        </w:pPr>
                        <w:r>
                          <w:t xml:space="preserve">Rayon </w:t>
                        </w:r>
                      </w:p>
                      <w:p w:rsidR="005B6CCE" w:rsidRDefault="001E194B" w:rsidP="00F850B0">
                        <w:pPr>
                          <w:spacing w:after="0" w:line="240" w:lineRule="auto"/>
                        </w:pPr>
                        <w:r>
                          <w:t>en cm</w:t>
                        </w:r>
                      </w:p>
                    </w:txbxContent>
                  </v:textbox>
                </v:shape>
              </w:pict>
            </w:r>
          </w:p>
        </w:tc>
      </w:tr>
    </w:tbl>
    <w:p w:rsidR="002E22B3" w:rsidRDefault="001E194B">
      <w:pPr>
        <w:spacing w:after="0" w:line="240" w:lineRule="auto"/>
        <w:rPr>
          <w:rFonts w:cs="Arial"/>
          <w:bCs/>
        </w:rPr>
      </w:pPr>
      <w:r>
        <w:rPr>
          <w:rFonts w:cs="Arial"/>
          <w:bCs/>
        </w:rPr>
        <w:br w:type="page"/>
      </w:r>
    </w:p>
    <w:p w:rsidR="00DE32D9" w:rsidRDefault="001E194B" w:rsidP="00DE32D9">
      <w:pPr>
        <w:tabs>
          <w:tab w:val="left" w:pos="7950"/>
        </w:tabs>
        <w:spacing w:before="240" w:after="120"/>
        <w:rPr>
          <w:rFonts w:cs="Arial"/>
          <w:bCs/>
        </w:rPr>
      </w:pPr>
    </w:p>
    <w:p w:rsidR="00DD300D" w:rsidRDefault="001E194B" w:rsidP="00DE32D9">
      <w:pPr>
        <w:tabs>
          <w:tab w:val="left" w:pos="7950"/>
        </w:tabs>
        <w:spacing w:before="240" w:after="120"/>
        <w:rPr>
          <w:rFonts w:cs="Arial"/>
          <w:bCs/>
        </w:rPr>
      </w:pPr>
      <w:r w:rsidRPr="00F930E2">
        <w:rPr>
          <w:rFonts w:cs="Arial"/>
          <w:bCs/>
        </w:rPr>
        <w:t>Buffon écrit : </w:t>
      </w:r>
    </w:p>
    <w:p w:rsidR="00DD300D" w:rsidRDefault="001E194B" w:rsidP="0088240D">
      <w:pPr>
        <w:spacing w:after="240"/>
        <w:jc w:val="both"/>
        <w:rPr>
          <w:rFonts w:cs="Arial"/>
          <w:bCs/>
        </w:rPr>
      </w:pPr>
      <w:r w:rsidRPr="00F930E2">
        <w:rPr>
          <w:rFonts w:cs="Arial"/>
          <w:bCs/>
        </w:rPr>
        <w:t>« Maintenant, si l’on voulait chercher […] combien il faudrait de temps à un globe gros comme la Terre pour se refroidir, on trouverait, d’après</w:t>
      </w:r>
      <w:r w:rsidRPr="00F930E2">
        <w:rPr>
          <w:rFonts w:cs="Arial"/>
          <w:bCs/>
        </w:rPr>
        <w:t xml:space="preserve"> les expériences précédentes, […] quatre-vingt-seize-mille six cent soixante-dix ans et cent trente-deux jours pour la refr</w:t>
      </w:r>
      <w:r>
        <w:rPr>
          <w:rFonts w:cs="Arial"/>
          <w:bCs/>
        </w:rPr>
        <w:t>oidir à la température actuelle</w:t>
      </w:r>
      <w:r w:rsidRPr="00F930E2">
        <w:rPr>
          <w:rFonts w:cs="Arial"/>
          <w:bCs/>
        </w:rPr>
        <w:t> »</w:t>
      </w:r>
      <w:r>
        <w:rPr>
          <w:rFonts w:cs="Arial"/>
          <w:bCs/>
        </w:rPr>
        <w:t xml:space="preserve"> (e</w:t>
      </w:r>
      <w:r w:rsidRPr="00F930E2">
        <w:rPr>
          <w:rFonts w:cs="Arial"/>
          <w:bCs/>
        </w:rPr>
        <w:t xml:space="preserve">xtrait de </w:t>
      </w:r>
      <w:r w:rsidRPr="00F930E2">
        <w:rPr>
          <w:rFonts w:cs="Arial"/>
          <w:bCs/>
          <w:i/>
        </w:rPr>
        <w:t>L’Histoire Naturelle, générale et particulière</w:t>
      </w:r>
      <w:r w:rsidRPr="00F930E2">
        <w:rPr>
          <w:rFonts w:cs="Arial"/>
          <w:bCs/>
        </w:rPr>
        <w:t>, Buffon, 1774</w:t>
      </w:r>
      <w:r>
        <w:rPr>
          <w:rFonts w:cs="Arial"/>
          <w:bCs/>
        </w:rPr>
        <w:t>).</w:t>
      </w:r>
    </w:p>
    <w:p w:rsidR="00DD300D" w:rsidRPr="00F850B0" w:rsidRDefault="001E194B" w:rsidP="002E22B3">
      <w:pPr>
        <w:spacing w:before="240" w:after="120"/>
        <w:ind w:left="284"/>
        <w:rPr>
          <w:rFonts w:cs="Arial"/>
          <w:u w:val="single"/>
        </w:rPr>
      </w:pPr>
      <w:r w:rsidRPr="0088240D">
        <w:rPr>
          <w:rFonts w:cs="Arial"/>
        </w:rPr>
        <w:t xml:space="preserve">• </w:t>
      </w:r>
      <w:r w:rsidRPr="00F850B0">
        <w:rPr>
          <w:rFonts w:cs="Arial"/>
          <w:u w:val="single"/>
        </w:rPr>
        <w:t>La démarche de Kelvin</w:t>
      </w:r>
    </w:p>
    <w:p w:rsidR="00DD300D" w:rsidRDefault="001E194B" w:rsidP="0088240D">
      <w:pPr>
        <w:spacing w:after="120"/>
        <w:jc w:val="both"/>
        <w:rPr>
          <w:rFonts w:cs="Arial"/>
        </w:rPr>
      </w:pPr>
      <w:r w:rsidRPr="005E2AB9">
        <w:rPr>
          <w:rFonts w:cs="Arial"/>
        </w:rPr>
        <w:t xml:space="preserve">Presque un siècle plus tard, </w:t>
      </w:r>
      <w:r>
        <w:rPr>
          <w:rFonts w:cs="Arial"/>
        </w:rPr>
        <w:t xml:space="preserve">le Britannique </w:t>
      </w:r>
      <w:r w:rsidRPr="00995A5A">
        <w:rPr>
          <w:rFonts w:cs="Arial"/>
        </w:rPr>
        <w:t xml:space="preserve">Lord Kelvin </w:t>
      </w:r>
      <w:r>
        <w:rPr>
          <w:rFonts w:cs="Arial"/>
        </w:rPr>
        <w:t>utilise la théorie de la conduction de la chaleur établie par Fourier</w:t>
      </w:r>
      <w:r w:rsidRPr="00995A5A">
        <w:rPr>
          <w:rFonts w:cs="Arial"/>
        </w:rPr>
        <w:t xml:space="preserve"> </w:t>
      </w:r>
      <w:r>
        <w:rPr>
          <w:rFonts w:cs="Arial"/>
        </w:rPr>
        <w:t>et modélisée par « </w:t>
      </w:r>
      <w:r w:rsidRPr="00995A5A">
        <w:rPr>
          <w:rFonts w:cs="Arial"/>
        </w:rPr>
        <w:t>l’équation de la chaleur</w:t>
      </w:r>
      <w:r>
        <w:rPr>
          <w:rFonts w:cs="Arial"/>
        </w:rPr>
        <w:t> ». E</w:t>
      </w:r>
      <w:r w:rsidRPr="00995A5A">
        <w:rPr>
          <w:rFonts w:cs="Arial"/>
        </w:rPr>
        <w:t>n considérant que l’intérieur de l</w:t>
      </w:r>
      <w:r>
        <w:rPr>
          <w:rFonts w:cs="Arial"/>
        </w:rPr>
        <w:t>a Terre est homogène et rigide, i</w:t>
      </w:r>
      <w:r w:rsidRPr="00995A5A">
        <w:rPr>
          <w:rFonts w:cs="Arial"/>
        </w:rPr>
        <w:t xml:space="preserve">l estime l’âge </w:t>
      </w:r>
      <w:r w:rsidRPr="00995A5A">
        <w:rPr>
          <w:rFonts w:cs="Arial"/>
        </w:rPr>
        <w:t>de la Terre entre 20 et 400 millions d’années</w:t>
      </w:r>
      <w:r>
        <w:rPr>
          <w:rFonts w:cs="Arial"/>
        </w:rPr>
        <w:t xml:space="preserve"> en utilisant l’équation de transfert de chaleur.</w:t>
      </w:r>
    </w:p>
    <w:p w:rsidR="00D07CE1" w:rsidRDefault="001E194B" w:rsidP="0088240D">
      <w:pPr>
        <w:spacing w:after="120"/>
        <w:jc w:val="both"/>
        <w:rPr>
          <w:rFonts w:cs="Arial"/>
        </w:rPr>
      </w:pPr>
      <w:r>
        <w:rPr>
          <w:rFonts w:cs="Arial"/>
        </w:rPr>
        <w:t>Lord Kelvin écrit :</w:t>
      </w:r>
    </w:p>
    <w:p w:rsidR="00DD300D" w:rsidRDefault="001E194B" w:rsidP="00AF7789">
      <w:pPr>
        <w:spacing w:after="120"/>
        <w:jc w:val="both"/>
        <w:rPr>
          <w:rFonts w:cs="Arial"/>
          <w:bCs/>
          <w:i/>
          <w:lang w:val="en-US"/>
        </w:rPr>
      </w:pPr>
      <w:r w:rsidRPr="00F930E2">
        <w:rPr>
          <w:rFonts w:cs="Arial"/>
          <w:bCs/>
        </w:rPr>
        <w:t>« Le fait que la température de la Terre augmente avec la profondeur sous la surface implique une perte continue de chaleur de l’intérieur pa</w:t>
      </w:r>
      <w:r w:rsidRPr="00F930E2">
        <w:rPr>
          <w:rFonts w:cs="Arial"/>
          <w:bCs/>
        </w:rPr>
        <w:t>r conduction vers l’extérieur, à travers ou dans la croûte supérieure. Puisque la croûte supérieure ne devient pas plus chaude d’année en année, il doit donc y avoir une perte de chaleur séculaire de la Terre entière… Mais il est certain que la Terre devie</w:t>
      </w:r>
      <w:r w:rsidRPr="00F930E2">
        <w:rPr>
          <w:rFonts w:cs="Arial"/>
          <w:bCs/>
        </w:rPr>
        <w:t>nt de plus en plus froide d’âge en âge… »</w:t>
      </w:r>
      <w:r>
        <w:rPr>
          <w:rFonts w:cs="Arial"/>
          <w:bCs/>
        </w:rPr>
        <w:t xml:space="preserve"> </w:t>
      </w:r>
      <w:r w:rsidRPr="00224769">
        <w:rPr>
          <w:rFonts w:cs="Arial"/>
          <w:bCs/>
          <w:lang w:val="en-US"/>
        </w:rPr>
        <w:t>(d</w:t>
      </w:r>
      <w:r w:rsidRPr="00F930E2">
        <w:rPr>
          <w:rFonts w:cs="Arial"/>
          <w:bCs/>
          <w:lang w:val="en-US"/>
        </w:rPr>
        <w:t>’après</w:t>
      </w:r>
      <w:r w:rsidRPr="00F930E2">
        <w:rPr>
          <w:rFonts w:cs="Arial"/>
          <w:bCs/>
          <w:i/>
          <w:lang w:val="en-US"/>
        </w:rPr>
        <w:t xml:space="preserve"> On the Secular Cooling of the Earth, </w:t>
      </w:r>
      <w:r w:rsidRPr="00F930E2">
        <w:rPr>
          <w:rFonts w:cs="Arial"/>
          <w:bCs/>
          <w:lang w:val="en-US"/>
        </w:rPr>
        <w:t>Lord Kelvin, 1862</w:t>
      </w:r>
      <w:r>
        <w:rPr>
          <w:rFonts w:cs="Arial"/>
          <w:bCs/>
          <w:lang w:val="en-US"/>
        </w:rPr>
        <w:t>).</w:t>
      </w:r>
    </w:p>
    <w:p w:rsidR="00B244C4" w:rsidRPr="00F930E2" w:rsidRDefault="001E194B" w:rsidP="00AF7789">
      <w:pPr>
        <w:spacing w:before="240" w:after="240"/>
        <w:jc w:val="both"/>
        <w:rPr>
          <w:rFonts w:cs="Arial"/>
          <w:bCs/>
        </w:rPr>
      </w:pPr>
      <w:r>
        <w:rPr>
          <w:rFonts w:cs="Arial"/>
          <w:bCs/>
        </w:rPr>
        <w:t>En s’</w:t>
      </w:r>
      <w:r w:rsidRPr="00F930E2">
        <w:rPr>
          <w:rFonts w:cs="Arial"/>
          <w:bCs/>
        </w:rPr>
        <w:t xml:space="preserve">appuyant sur le </w:t>
      </w:r>
      <w:r>
        <w:rPr>
          <w:rFonts w:cs="Arial"/>
          <w:bCs/>
        </w:rPr>
        <w:t>document 1, les informations précédentes et sur le</w:t>
      </w:r>
      <w:r w:rsidRPr="00F930E2">
        <w:rPr>
          <w:rFonts w:cs="Arial"/>
          <w:bCs/>
        </w:rPr>
        <w:t>s connaissances personnelles, répondre aux questions suivantes</w:t>
      </w:r>
      <w:r>
        <w:rPr>
          <w:rFonts w:cs="Arial"/>
          <w:bCs/>
        </w:rPr>
        <w:t>.</w:t>
      </w:r>
    </w:p>
    <w:p w:rsidR="00B244C4" w:rsidRPr="00F930E2" w:rsidRDefault="001E194B" w:rsidP="00DE32D9">
      <w:pPr>
        <w:spacing w:after="0"/>
        <w:jc w:val="both"/>
        <w:rPr>
          <w:rFonts w:cs="Arial"/>
          <w:bCs/>
        </w:rPr>
      </w:pPr>
      <w:r w:rsidRPr="00224769">
        <w:rPr>
          <w:rFonts w:cs="Arial"/>
          <w:b/>
          <w:bCs/>
        </w:rPr>
        <w:t>1-</w:t>
      </w:r>
      <w:r>
        <w:rPr>
          <w:rFonts w:cs="Arial"/>
          <w:bCs/>
        </w:rPr>
        <w:t xml:space="preserve"> Expliciter</w:t>
      </w:r>
      <w:r>
        <w:rPr>
          <w:rFonts w:cs="Arial"/>
          <w:bCs/>
        </w:rPr>
        <w:t xml:space="preserve"> la démarche mise en œuvre par Buffon, ses points forts et s</w:t>
      </w:r>
      <w:r w:rsidRPr="00F930E2">
        <w:rPr>
          <w:rFonts w:cs="Arial"/>
          <w:bCs/>
        </w:rPr>
        <w:t>es limites</w:t>
      </w:r>
      <w:r>
        <w:rPr>
          <w:rFonts w:cs="Arial"/>
          <w:bCs/>
        </w:rPr>
        <w:t>.</w:t>
      </w:r>
    </w:p>
    <w:p w:rsidR="00B244C4" w:rsidRPr="00F930E2" w:rsidRDefault="001E194B" w:rsidP="00DE32D9">
      <w:pPr>
        <w:spacing w:after="0"/>
        <w:jc w:val="both"/>
        <w:rPr>
          <w:rFonts w:cs="Arial"/>
          <w:bCs/>
        </w:rPr>
      </w:pPr>
    </w:p>
    <w:p w:rsidR="00B244C4" w:rsidRPr="00F930E2" w:rsidRDefault="001E194B" w:rsidP="00DE32D9">
      <w:pPr>
        <w:spacing w:after="0"/>
        <w:jc w:val="both"/>
        <w:rPr>
          <w:rFonts w:cs="Arial"/>
          <w:bCs/>
        </w:rPr>
      </w:pPr>
      <w:r w:rsidRPr="00224769">
        <w:rPr>
          <w:rFonts w:cs="Arial"/>
          <w:b/>
          <w:bCs/>
        </w:rPr>
        <w:t>2-</w:t>
      </w:r>
      <w:r w:rsidRPr="00F930E2">
        <w:rPr>
          <w:rFonts w:cs="Arial"/>
          <w:bCs/>
        </w:rPr>
        <w:t xml:space="preserve"> </w:t>
      </w:r>
      <w:r>
        <w:rPr>
          <w:rFonts w:cs="Arial"/>
          <w:bCs/>
        </w:rPr>
        <w:t>Expliciter la démarche mise en œuvre par Lord Kelvin, ses points forts et s</w:t>
      </w:r>
      <w:r w:rsidRPr="00F930E2">
        <w:rPr>
          <w:rFonts w:cs="Arial"/>
          <w:bCs/>
        </w:rPr>
        <w:t>es limites.</w:t>
      </w:r>
    </w:p>
    <w:p w:rsidR="00B244C4" w:rsidRPr="00F930E2" w:rsidRDefault="001E194B" w:rsidP="00DE32D9">
      <w:pPr>
        <w:spacing w:after="0"/>
        <w:jc w:val="both"/>
        <w:rPr>
          <w:rFonts w:cs="Arial"/>
          <w:bCs/>
        </w:rPr>
      </w:pPr>
    </w:p>
    <w:p w:rsidR="000236F1" w:rsidRPr="00F930E2" w:rsidRDefault="001E194B" w:rsidP="00DE32D9">
      <w:pPr>
        <w:jc w:val="both"/>
        <w:rPr>
          <w:rFonts w:cs="Arial"/>
          <w:bCs/>
        </w:rPr>
      </w:pPr>
      <w:r w:rsidRPr="00224769">
        <w:rPr>
          <w:rFonts w:cs="Arial"/>
          <w:b/>
          <w:bCs/>
        </w:rPr>
        <w:t>3-</w:t>
      </w:r>
      <w:r>
        <w:rPr>
          <w:rFonts w:cs="Arial"/>
          <w:bCs/>
        </w:rPr>
        <w:t xml:space="preserve"> </w:t>
      </w:r>
      <w:r w:rsidRPr="00F930E2">
        <w:rPr>
          <w:rFonts w:cs="Arial"/>
          <w:bCs/>
        </w:rPr>
        <w:t>Com</w:t>
      </w:r>
      <w:r>
        <w:rPr>
          <w:rFonts w:cs="Arial"/>
          <w:bCs/>
        </w:rPr>
        <w:t>ment</w:t>
      </w:r>
      <w:r w:rsidRPr="00F930E2">
        <w:rPr>
          <w:rFonts w:cs="Arial"/>
          <w:bCs/>
        </w:rPr>
        <w:t>er les âges de la Terre proposés par Buffon et Kelvin</w:t>
      </w:r>
      <w:r>
        <w:rPr>
          <w:rFonts w:cs="Arial"/>
          <w:bCs/>
        </w:rPr>
        <w:t xml:space="preserve">. On attend une comparaison </w:t>
      </w:r>
      <w:r>
        <w:rPr>
          <w:rFonts w:cs="Arial"/>
          <w:bCs/>
        </w:rPr>
        <w:t>des valeurs, de leur précision et de leur</w:t>
      </w:r>
      <w:r w:rsidRPr="00F930E2">
        <w:rPr>
          <w:rFonts w:cs="Arial"/>
          <w:bCs/>
        </w:rPr>
        <w:t xml:space="preserve"> ordre de grandeur.</w:t>
      </w:r>
    </w:p>
    <w:p w:rsidR="00DE32D9" w:rsidRDefault="001E194B">
      <w:pPr>
        <w:spacing w:after="0" w:line="240" w:lineRule="auto"/>
        <w:rPr>
          <w:rFonts w:cs="Arial"/>
          <w:u w:val="single"/>
        </w:rPr>
      </w:pPr>
      <w:r>
        <w:rPr>
          <w:rFonts w:cs="Arial"/>
          <w:u w:val="single"/>
        </w:rPr>
        <w:br w:type="page"/>
      </w:r>
    </w:p>
    <w:p w:rsidR="00580A95" w:rsidRPr="00F850B0" w:rsidRDefault="001E194B" w:rsidP="00D12CFF">
      <w:pPr>
        <w:spacing w:before="240" w:after="240"/>
        <w:jc w:val="both"/>
        <w:rPr>
          <w:rFonts w:cs="Arial"/>
          <w:u w:val="single"/>
        </w:rPr>
      </w:pPr>
      <w:r w:rsidRPr="00F850B0">
        <w:rPr>
          <w:rFonts w:cs="Arial"/>
          <w:u w:val="single"/>
        </w:rPr>
        <w:lastRenderedPageBreak/>
        <w:t>Partie B. Les positions des géologues et de Charles Darwin</w:t>
      </w:r>
    </w:p>
    <w:p w:rsidR="000236F1" w:rsidRPr="00F930E2" w:rsidRDefault="001E194B" w:rsidP="00D12CFF">
      <w:pPr>
        <w:spacing w:after="120"/>
        <w:jc w:val="both"/>
        <w:rPr>
          <w:rFonts w:cs="Arial"/>
          <w:bCs/>
        </w:rPr>
      </w:pPr>
      <w:r w:rsidRPr="00F930E2">
        <w:rPr>
          <w:rFonts w:cs="Arial"/>
          <w:bCs/>
        </w:rPr>
        <w:t>Au XIX</w:t>
      </w:r>
      <w:r w:rsidRPr="00F930E2">
        <w:rPr>
          <w:rFonts w:cs="Arial"/>
          <w:bCs/>
          <w:vertAlign w:val="superscript"/>
        </w:rPr>
        <w:t>e</w:t>
      </w:r>
      <w:r w:rsidRPr="00F930E2">
        <w:rPr>
          <w:rFonts w:cs="Arial"/>
          <w:bCs/>
        </w:rPr>
        <w:t xml:space="preserve"> siècle, des géologues à l’instar de Charles Lyell, affirment que l’explication du passé de la Terre réside dans l’étude des ph</w:t>
      </w:r>
      <w:r w:rsidRPr="00F930E2">
        <w:rPr>
          <w:rFonts w:cs="Arial"/>
          <w:bCs/>
        </w:rPr>
        <w:t>énomènes géologiques actuels</w:t>
      </w:r>
      <w:r>
        <w:rPr>
          <w:rFonts w:cs="Arial"/>
          <w:bCs/>
        </w:rPr>
        <w:t>. I</w:t>
      </w:r>
      <w:r w:rsidRPr="00F930E2">
        <w:rPr>
          <w:rFonts w:cs="Arial"/>
          <w:bCs/>
        </w:rPr>
        <w:t xml:space="preserve">ls utilisent la vitesse de sédimentation pour évaluer l’âge de la Terre. </w:t>
      </w:r>
    </w:p>
    <w:p w:rsidR="00B244C4" w:rsidRPr="00F930E2" w:rsidRDefault="001E194B" w:rsidP="00D12CFF">
      <w:pPr>
        <w:spacing w:after="120"/>
        <w:jc w:val="both"/>
        <w:rPr>
          <w:rFonts w:cs="Arial"/>
          <w:bCs/>
        </w:rPr>
      </w:pPr>
      <w:r w:rsidRPr="00F930E2">
        <w:rPr>
          <w:rFonts w:cs="Arial"/>
          <w:bCs/>
        </w:rPr>
        <w:t>En considérant que les sédiments se déposent à un rythme compris entre 1</w:t>
      </w:r>
      <w:r>
        <w:rPr>
          <w:rFonts w:cs="Arial"/>
          <w:bCs/>
        </w:rPr>
        <w:t> </w:t>
      </w:r>
      <w:r w:rsidRPr="00F930E2">
        <w:rPr>
          <w:rFonts w:cs="Arial"/>
          <w:bCs/>
        </w:rPr>
        <w:t>mm et 1</w:t>
      </w:r>
      <w:r>
        <w:rPr>
          <w:rFonts w:cs="Arial"/>
          <w:bCs/>
        </w:rPr>
        <w:t> </w:t>
      </w:r>
      <w:r w:rsidRPr="00F930E2">
        <w:rPr>
          <w:rFonts w:cs="Arial"/>
          <w:bCs/>
        </w:rPr>
        <w:t>cm par an, ils estiment l’âge de la Terre a environ 3 milliards d’anné</w:t>
      </w:r>
      <w:r w:rsidRPr="00F930E2">
        <w:rPr>
          <w:rFonts w:cs="Arial"/>
          <w:bCs/>
        </w:rPr>
        <w:t>es.</w:t>
      </w:r>
    </w:p>
    <w:p w:rsidR="00470082" w:rsidRDefault="001E194B" w:rsidP="00D12CFF">
      <w:pPr>
        <w:spacing w:after="0"/>
        <w:jc w:val="both"/>
        <w:rPr>
          <w:rFonts w:cs="Arial"/>
          <w:bCs/>
        </w:rPr>
      </w:pPr>
      <w:r w:rsidRPr="00F930E2">
        <w:rPr>
          <w:rFonts w:cs="Arial"/>
          <w:bCs/>
        </w:rPr>
        <w:t xml:space="preserve">Quant à Charles Darwin, il s’oppose à Kelvin dans son ouvrage « De l’origine des </w:t>
      </w:r>
      <w:r>
        <w:rPr>
          <w:rFonts w:cs="Arial"/>
          <w:bCs/>
        </w:rPr>
        <w:t>e</w:t>
      </w:r>
      <w:r w:rsidRPr="00F930E2">
        <w:rPr>
          <w:rFonts w:cs="Arial"/>
          <w:bCs/>
        </w:rPr>
        <w:t>spèces » paru en 1859. Selon lui, la théorie de l’évolution permet d’expliquer la diversité du vivant, mais elle nécessite des temps très longs, de l’ordre du milliard d’</w:t>
      </w:r>
      <w:r w:rsidRPr="00F930E2">
        <w:rPr>
          <w:rFonts w:cs="Arial"/>
          <w:bCs/>
        </w:rPr>
        <w:t>années.</w:t>
      </w:r>
    </w:p>
    <w:p w:rsidR="00470082" w:rsidRDefault="001E194B" w:rsidP="00D12CFF">
      <w:pPr>
        <w:jc w:val="both"/>
        <w:rPr>
          <w:rFonts w:cs="Arial"/>
          <w:bCs/>
        </w:rPr>
      </w:pPr>
    </w:p>
    <w:p w:rsidR="00256F37" w:rsidRPr="00224769" w:rsidRDefault="001E194B" w:rsidP="0013349E">
      <w:pPr>
        <w:pBdr>
          <w:top w:val="single" w:sz="4" w:space="6" w:color="auto"/>
          <w:left w:val="single" w:sz="4" w:space="4" w:color="auto"/>
          <w:bottom w:val="single" w:sz="4" w:space="6" w:color="auto"/>
          <w:right w:val="single" w:sz="4" w:space="4" w:color="auto"/>
        </w:pBdr>
        <w:spacing w:after="240"/>
        <w:jc w:val="both"/>
        <w:rPr>
          <w:rFonts w:cs="Arial"/>
          <w:bCs/>
          <w:u w:val="single"/>
        </w:rPr>
      </w:pPr>
      <w:r w:rsidRPr="00224769">
        <w:rPr>
          <w:rFonts w:cs="Arial"/>
          <w:bCs/>
          <w:u w:val="single"/>
        </w:rPr>
        <w:t xml:space="preserve">Document 2. Coupe </w:t>
      </w:r>
      <w:r>
        <w:rPr>
          <w:rFonts w:cs="Arial"/>
          <w:bCs/>
          <w:u w:val="single"/>
        </w:rPr>
        <w:t>géologique d’un affleurement géologique à Wöllstein (Allemagne)</w:t>
      </w:r>
    </w:p>
    <w:p w:rsidR="00D7747E" w:rsidRPr="0013349E" w:rsidRDefault="001E194B" w:rsidP="009D0DE5">
      <w:pPr>
        <w:pBdr>
          <w:top w:val="single" w:sz="4" w:space="6" w:color="auto"/>
          <w:left w:val="single" w:sz="4" w:space="4" w:color="auto"/>
          <w:bottom w:val="single" w:sz="4" w:space="6" w:color="auto"/>
          <w:right w:val="single" w:sz="4" w:space="4" w:color="auto"/>
        </w:pBdr>
        <w:spacing w:after="0"/>
      </w:pPr>
      <w:r>
        <w:rPr>
          <w:noProof/>
        </w:rPr>
        <mc:AlternateContent>
          <mc:Choice Requires="wps">
            <w:drawing>
              <wp:anchor distT="45720" distB="45720" distL="114300" distR="114300" simplePos="0" relativeHeight="251700224" behindDoc="0" locked="0" layoutInCell="1" allowOverlap="1">
                <wp:simplePos x="0" y="0"/>
                <wp:positionH relativeFrom="column">
                  <wp:posOffset>-14605</wp:posOffset>
                </wp:positionH>
                <wp:positionV relativeFrom="paragraph">
                  <wp:posOffset>4038600</wp:posOffset>
                </wp:positionV>
                <wp:extent cx="5781675" cy="533400"/>
                <wp:effectExtent l="0" t="0" r="9525" b="0"/>
                <wp:wrapNone/>
                <wp:docPr id="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1675" cy="533400"/>
                        </a:xfrm>
                        <a:prstGeom prst="rect">
                          <a:avLst/>
                        </a:prstGeom>
                        <a:solidFill>
                          <a:srgbClr val="FFFFFF"/>
                        </a:solidFill>
                        <a:ln w="9525">
                          <a:noFill/>
                          <a:miter lim="800000"/>
                          <a:headEnd/>
                          <a:tailEnd/>
                        </a:ln>
                      </wps:spPr>
                      <wps:txbx>
                        <w:txbxContent>
                          <w:p w:rsidR="00CD44B0" w:rsidRDefault="001E194B" w:rsidP="00CD44B0">
                            <w:pPr>
                              <w:spacing w:after="120"/>
                              <w:rPr>
                                <w:rFonts w:cs="Arial"/>
                              </w:rPr>
                            </w:pPr>
                            <w:r>
                              <w:rPr>
                                <w:rFonts w:cs="Arial"/>
                              </w:rPr>
                              <w:t>L’épaisseur de chaque couche est en mètres.</w:t>
                            </w:r>
                          </w:p>
                          <w:p w:rsidR="00CD44B0" w:rsidRPr="00F930E2" w:rsidRDefault="001E194B" w:rsidP="00CD44B0">
                            <w:pPr>
                              <w:spacing w:after="0"/>
                              <w:jc w:val="right"/>
                              <w:rPr>
                                <w:rFonts w:cs="Arial"/>
                                <w:bCs/>
                              </w:rPr>
                            </w:pPr>
                            <w:r w:rsidRPr="00CD44B0">
                              <w:rPr>
                                <w:rFonts w:cs="Arial"/>
                                <w:sz w:val="22"/>
                              </w:rPr>
                              <w:t xml:space="preserve">D’après Gustave-F. Dollfus, </w:t>
                            </w:r>
                            <w:r w:rsidRPr="00CD44B0">
                              <w:rPr>
                                <w:rFonts w:cs="Arial"/>
                                <w:i/>
                                <w:sz w:val="22"/>
                              </w:rPr>
                              <w:t>Bulletin de la société géologique de France, 1911</w:t>
                            </w:r>
                          </w:p>
                          <w:p w:rsidR="00EC1FE5" w:rsidRDefault="001E19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Zone de texte 2" o:spid="_x0000_s1026" type="#_x0000_t202" style="position:absolute;margin-left:-1.15pt;margin-top:318pt;width:455.25pt;height:42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" stroked="f">
                <v:textbox>
                  <w:txbxContent>
                    <w:p w:rsidR="00CD44B0" w:rsidRDefault="00CD44B0" w:rsidP="00CD44B0">
                      <w:pPr>
                        <w:spacing w:after="120"/>
                        <w:rPr>
                          <w:rFonts w:cs="Arial"/>
                        </w:rPr>
                      </w:pPr>
                      <w:r>
                        <w:rPr>
                          <w:rFonts w:cs="Arial"/>
                        </w:rPr>
                        <w:t>L’épaisseur de chaque couche est en mètres.</w:t>
                      </w:r>
                    </w:p>
                    <w:p w:rsidR="00CD44B0" w:rsidRPr="00F930E2" w:rsidRDefault="00CD44B0" w:rsidP="00CD44B0">
                      <w:pPr>
                        <w:spacing w:after="0"/>
                        <w:jc w:val="right"/>
                        <w:rPr>
                          <w:rFonts w:cs="Arial"/>
                          <w:bCs/>
                        </w:rPr>
                      </w:pPr>
                      <w:r w:rsidRPr="00CD44B0">
                        <w:rPr>
                          <w:rFonts w:cs="Arial"/>
                          <w:sz w:val="22"/>
                        </w:rPr>
                        <w:t xml:space="preserve">D’après Gustave-F. </w:t>
                      </w:r>
                      <w:proofErr w:type="spellStart"/>
                      <w:r w:rsidRPr="00CD44B0">
                        <w:rPr>
                          <w:rFonts w:cs="Arial"/>
                          <w:sz w:val="22"/>
                        </w:rPr>
                        <w:t>Dollfus</w:t>
                      </w:r>
                      <w:proofErr w:type="spellEnd"/>
                      <w:r w:rsidRPr="00CD44B0">
                        <w:rPr>
                          <w:rFonts w:cs="Arial"/>
                          <w:sz w:val="22"/>
                        </w:rPr>
                        <w:t xml:space="preserve">, </w:t>
                      </w:r>
                      <w:r w:rsidRPr="00CD44B0">
                        <w:rPr>
                          <w:rFonts w:cs="Arial"/>
                          <w:i/>
                          <w:sz w:val="22"/>
                        </w:rPr>
                        <w:t>Bulletin de la société géologique de France, 1911</w:t>
                      </w:r>
                    </w:p>
                    <w:p w:rsidR="00EC1FE5" w:rsidRDefault="00EC1FE5"/>
                  </w:txbxContent>
                </v:textbox>
              </v:shape>
            </w:pict>
          </mc:Fallback>
        </mc:AlternateContent>
      </w:r>
      <w:r>
        <w:pict w14:anchorId="1B41342B">
          <v:group id="_x0000_s1026" alt="" style="width:423.8pt;height:5in;mso-position-horizontal-relative:char;mso-position-vertical-relative:line" coordorigin="1777,2677" coordsize="8393,7560" wrapcoords="-38 0 -38 17871 10800 18514 10800 19200 1002 19500 385 19500 385 21514 21330 21514 21330 19500 20674 19500 10800 19200 10800 18514 20172 17871 20172 13028 20520 12985 21600 12514 21600 11100 21522 11057 20172 10971 20172 6857 20982 6814 21600 6557 21600 5142 21445 5057 20172 4800 20172 0 -38 0">
            <v:shape id="Text Box 18" o:spid="_x0000_s1027" type="#_x0000_t202" alt="" style="position:absolute;left:1957;top:9517;width:8100;height:720;visibility:visible;mso-wrap-style:square;mso-wrap-edited:f;mso-wrap-distance-left:9pt;mso-wrap-distance-top:0;mso-wrap-distance-right:9pt;mso-wrap-distance-bottom:0;mso-position-horizontal:absolute;mso-position-horizontal-relative:text;mso-position-vertical:absolute;mso-position-vertical-relative:text;mso-width-relative:page;mso-height-relative:page;v-text-anchor:top" wrapcoords="-40 0 -40 20700 21600 20700 21600 0 -40 0" stroked="f">
              <v:textbox style="mso-next-textbox:#Text Box 18">
                <w:txbxContent>
                  <w:p w:rsidR="006244FA" w:rsidRPr="00D7747E" w:rsidRDefault="001E194B" w:rsidP="00D7747E">
                    <w:pPr>
                      <w:spacing w:after="0"/>
                      <w:rPr>
                        <w:rFonts w:cs="Arial"/>
                      </w:rPr>
                    </w:pPr>
                  </w:p>
                </w:txbxContent>
              </v:textbox>
            </v:shape>
            <v:group id="Group 15" o:spid="_x0000_s1028" alt="" style="position:absolute;left:1777;top:2677;width:8393;height:6480" coordorigin="2700,4404" coordsize="7470,5820" wrapcoords="-43 0 -43 21488 20168 21488 20168 15142 20732 15086 21600 14585 21600 12971 21426 12859 20168 12470 20168 8016 20992 7960 21600 7626 21600 6012 21339 5845 20168 5344 20168 0 -43 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s1029" type="#_x0000_t75" alt="" style="position:absolute;left:2700;top:4404;width:6960;height:5820;visibility:visible;mso-wrap-style:square">
                <v:imagedata r:id="rId15" o:title="CoupeStrati" gain="109227f" blacklevel="-6554f"/>
              </v:shape>
              <v:shapetype id="_x0000_t32" coordsize="21600,21600" o:spt="32" o:oned="t" path="m,l21600,21600e" filled="f">
                <v:path arrowok="t" fillok="f" o:connecttype="none"/>
                <o:lock v:ext="edit" shapetype="t"/>
              </v:shapetype>
              <v:shape id="AutoShape 19" o:spid="_x0000_s1030" type="#_x0000_t32" alt="" style="position:absolute;left:6720;top:8154;width:570;height:15;flip:x;visibility:visible;mso-wrap-style:square" o:connectortype="straight">
                <v:stroke endarrow="block"/>
              </v:shape>
              <v:shape id="Text Box 20" o:spid="_x0000_s1031" type="#_x0000_t202" alt="" style="position:absolute;left:7050;top:7899;width:3120;height:435;visibility:visible;mso-wrap-style:square;v-text-anchor:top" stroked="f">
                <v:textbox style="mso-next-textbox:#Text Box 20">
                  <w:txbxContent>
                    <w:p w:rsidR="001373FD" w:rsidRPr="00F850B0" w:rsidRDefault="001E194B" w:rsidP="00256F37">
                      <w:r w:rsidRPr="00F850B0">
                        <w:t>Socle (roche magmatique)</w:t>
                      </w:r>
                    </w:p>
                  </w:txbxContent>
                </v:textbox>
              </v:shape>
              <v:shape id="AutoShape 19" o:spid="_x0000_s1032" type="#_x0000_t32" alt="" style="position:absolute;left:8790;top:6234;width:645;height:75;flip:x;visibility:visible;mso-wrap-style:square" o:connectortype="straight">
                <v:stroke endarrow="block"/>
              </v:shape>
              <v:shape id="Text Box 20" o:spid="_x0000_s1033" type="#_x0000_t202" alt="" style="position:absolute;left:9300;top:6024;width:870;height:435;visibility:visible;mso-wrap-style:square;v-text-anchor:top" stroked="f">
                <v:textbox>
                  <w:txbxContent>
                    <w:p w:rsidR="001373FD" w:rsidRPr="00F850B0" w:rsidRDefault="001E194B" w:rsidP="00771648">
                      <w:r w:rsidRPr="00F850B0">
                        <w:t>Argile</w:t>
                      </w:r>
                    </w:p>
                  </w:txbxContent>
                </v:textbox>
              </v:shape>
              <v:shape id="Text Box 11" o:spid="_x0000_s1034" type="#_x0000_t202" alt="" style="position:absolute;left:2865;top:4779;width:300;height:450;visibility:visible;mso-wrap-style:square;v-text-anchor:top" stroked="f">
                <v:textbox style="mso-next-textbox:#Text Box 11">
                  <w:txbxContent>
                    <w:p w:rsidR="001373FD" w:rsidRPr="00A128E9" w:rsidRDefault="001E194B">
                      <w:pPr>
                        <w:rPr>
                          <w:rFonts w:ascii="DejaVu Serif" w:hAnsi="DejaVu Serif"/>
                          <w:b/>
                        </w:rPr>
                      </w:pPr>
                      <w:r w:rsidRPr="00A128E9">
                        <w:rPr>
                          <w:rFonts w:ascii="DejaVu Serif" w:hAnsi="DejaVu Serif"/>
                          <w:b/>
                        </w:rPr>
                        <w:t>L</w:t>
                      </w:r>
                    </w:p>
                  </w:txbxContent>
                </v:textbox>
              </v:shape>
              <v:shape id="Text Box 12" o:spid="_x0000_s1035" type="#_x0000_t202" alt="" style="position:absolute;left:2700;top:8454;width:300;height:450;visibility:visible;mso-wrap-style:square;v-text-anchor:top" stroked="f">
                <v:textbox style="mso-next-textbox:#Text Box 12">
                  <w:txbxContent>
                    <w:p w:rsidR="001373FD" w:rsidRPr="00A128E9" w:rsidRDefault="001E194B" w:rsidP="00A128E9"/>
                  </w:txbxContent>
                </v:textbox>
              </v:shape>
              <v:shape id="Text Box 13" o:spid="_x0000_s1036" type="#_x0000_t202" alt="" style="position:absolute;left:2700;top:8529;width:300;height:375;visibility:visible;mso-wrap-style:square;v-text-anchor:top" stroked="f">
                <v:textbox style="mso-next-textbox:#Text Box 13">
                  <w:txbxContent>
                    <w:p w:rsidR="001373FD" w:rsidRPr="00A128E9" w:rsidRDefault="001E194B" w:rsidP="00A128E9">
                      <w:pPr>
                        <w:rPr>
                          <w:rFonts w:ascii="DejaVu Serif" w:hAnsi="DejaVu Serif"/>
                          <w:b/>
                        </w:rPr>
                      </w:pPr>
                      <w:r w:rsidRPr="00A128E9">
                        <w:rPr>
                          <w:rFonts w:ascii="DejaVu Serif" w:hAnsi="DejaVu Serif"/>
                          <w:b/>
                        </w:rPr>
                        <w:t>L</w:t>
                      </w:r>
                    </w:p>
                  </w:txbxContent>
                </v:textbox>
              </v:shape>
            </v:group>
            <w10:wrap type="none"/>
            <w10:anchorlock/>
          </v:group>
        </w:pict>
      </w:r>
    </w:p>
    <w:p w:rsidR="00D7747E" w:rsidRDefault="001E194B" w:rsidP="00EC1FE5">
      <w:pPr>
        <w:spacing w:after="0"/>
        <w:rPr>
          <w:rFonts w:cs="Arial"/>
          <w:bCs/>
        </w:rPr>
      </w:pPr>
    </w:p>
    <w:p w:rsidR="00EC1FE5" w:rsidRPr="00D7747E" w:rsidRDefault="001E194B" w:rsidP="00EC1FE5">
      <w:pPr>
        <w:spacing w:after="0"/>
        <w:rPr>
          <w:rFonts w:cs="Arial"/>
        </w:rPr>
      </w:pPr>
    </w:p>
    <w:p w:rsidR="00920243" w:rsidRDefault="001E194B" w:rsidP="008E06BD">
      <w:pPr>
        <w:spacing w:after="0"/>
        <w:jc w:val="both"/>
        <w:rPr>
          <w:rFonts w:cs="Arial"/>
          <w:bCs/>
        </w:rPr>
      </w:pPr>
      <w:r w:rsidRPr="00224769">
        <w:rPr>
          <w:rFonts w:cs="Arial"/>
          <w:b/>
          <w:bCs/>
        </w:rPr>
        <w:t>4-</w:t>
      </w:r>
      <w:r w:rsidRPr="00F930E2">
        <w:rPr>
          <w:rFonts w:cs="Arial"/>
          <w:bCs/>
        </w:rPr>
        <w:t xml:space="preserve"> En considérant que la vitesse de sédimentation est de 0,1 mm par an et que les sédiments formant ces différentes strates (couches 1 à 5) se sont déposés de manière u</w:t>
      </w:r>
      <w:r w:rsidRPr="00F930E2">
        <w:rPr>
          <w:rFonts w:cs="Arial"/>
          <w:bCs/>
        </w:rPr>
        <w:t>niforme, estimer la durée de formation de l’ensemble des strates de Wöllstein surmontant le socle.</w:t>
      </w:r>
    </w:p>
    <w:p w:rsidR="00353B44" w:rsidRPr="00F930E2" w:rsidRDefault="001E194B" w:rsidP="008E06BD">
      <w:pPr>
        <w:spacing w:after="0"/>
        <w:jc w:val="both"/>
        <w:rPr>
          <w:rFonts w:cs="Arial"/>
          <w:bCs/>
        </w:rPr>
      </w:pPr>
    </w:p>
    <w:p w:rsidR="00D0424A" w:rsidRPr="00F930E2" w:rsidRDefault="001E194B" w:rsidP="008E06BD">
      <w:pPr>
        <w:spacing w:after="0"/>
        <w:jc w:val="both"/>
        <w:rPr>
          <w:rFonts w:cs="Arial"/>
          <w:bCs/>
        </w:rPr>
      </w:pPr>
      <w:r w:rsidRPr="00224769">
        <w:rPr>
          <w:rFonts w:cs="Arial"/>
          <w:b/>
          <w:bCs/>
        </w:rPr>
        <w:t>5-</w:t>
      </w:r>
      <w:r>
        <w:rPr>
          <w:rFonts w:cs="Arial"/>
          <w:bCs/>
        </w:rPr>
        <w:t xml:space="preserve"> </w:t>
      </w:r>
      <w:r w:rsidRPr="00F930E2">
        <w:rPr>
          <w:rFonts w:cs="Arial"/>
          <w:bCs/>
        </w:rPr>
        <w:t xml:space="preserve">Comparer cet âge à celui estimé par Darwin. Proposer </w:t>
      </w:r>
      <w:r>
        <w:rPr>
          <w:rFonts w:cs="Arial"/>
          <w:bCs/>
        </w:rPr>
        <w:t>une</w:t>
      </w:r>
      <w:r w:rsidRPr="00F930E2">
        <w:rPr>
          <w:rFonts w:cs="Arial"/>
          <w:bCs/>
        </w:rPr>
        <w:t xml:space="preserve"> </w:t>
      </w:r>
      <w:r>
        <w:rPr>
          <w:rFonts w:cs="Arial"/>
          <w:bCs/>
        </w:rPr>
        <w:t>hypothèse</w:t>
      </w:r>
      <w:r w:rsidRPr="00F930E2">
        <w:rPr>
          <w:rFonts w:cs="Arial"/>
          <w:bCs/>
        </w:rPr>
        <w:t xml:space="preserve"> pour l</w:t>
      </w:r>
      <w:r>
        <w:rPr>
          <w:rFonts w:cs="Arial"/>
          <w:bCs/>
        </w:rPr>
        <w:t>a</w:t>
      </w:r>
      <w:r w:rsidRPr="00F930E2">
        <w:rPr>
          <w:rFonts w:cs="Arial"/>
          <w:bCs/>
        </w:rPr>
        <w:t xml:space="preserve">quelle cette estimation de l’âge de la Terre à partir de cette coupe </w:t>
      </w:r>
      <w:r>
        <w:rPr>
          <w:rFonts w:cs="Arial"/>
          <w:bCs/>
        </w:rPr>
        <w:t>géologique</w:t>
      </w:r>
      <w:r w:rsidRPr="00F930E2">
        <w:rPr>
          <w:rFonts w:cs="Arial"/>
          <w:bCs/>
        </w:rPr>
        <w:t xml:space="preserve"> est très différente. </w:t>
      </w:r>
    </w:p>
    <w:p w:rsidR="004C71D8" w:rsidRPr="00F930E2" w:rsidRDefault="001E194B" w:rsidP="00F850B0">
      <w:pPr>
        <w:spacing w:after="0"/>
        <w:rPr>
          <w:rFonts w:cs="Arial"/>
          <w:bCs/>
        </w:rPr>
      </w:pPr>
      <w:r>
        <w:br w:type="page"/>
      </w:r>
    </w:p>
    <w:p w:rsidR="009D61D0" w:rsidRDefault="001E194B" w:rsidP="009D61D0">
      <w:pPr>
        <w:spacing w:after="240"/>
        <w:jc w:val="center"/>
        <w:rPr>
          <w:b/>
          <w:sz w:val="28"/>
          <w:u w:val="single"/>
        </w:rPr>
      </w:pPr>
      <w:r w:rsidRPr="00B317F9">
        <w:rPr>
          <w:b/>
          <w:sz w:val="32"/>
          <w:u w:val="single"/>
        </w:rPr>
        <w:lastRenderedPageBreak/>
        <w:t>Document réponse à rendre avec la copie</w:t>
      </w:r>
    </w:p>
    <w:p w:rsidR="009D61D0" w:rsidRDefault="001E194B" w:rsidP="009D61D0">
      <w:pPr>
        <w:spacing w:after="120"/>
        <w:rPr>
          <w:b/>
          <w:sz w:val="28"/>
        </w:rPr>
      </w:pPr>
      <w:r>
        <w:rPr>
          <w:b/>
          <w:sz w:val="28"/>
        </w:rPr>
        <w:t>Exercice 1</w:t>
      </w:r>
    </w:p>
    <w:p w:rsidR="009D61D0" w:rsidRPr="00D87AD1" w:rsidRDefault="001E194B" w:rsidP="009D61D0">
      <w:pPr>
        <w:spacing w:after="120"/>
        <w:rPr>
          <w:b/>
          <w:sz w:val="22"/>
        </w:rPr>
      </w:pPr>
      <w:r>
        <w:rPr>
          <w:rFonts w:cs="Arial"/>
          <w:b/>
          <w:sz w:val="28"/>
        </w:rPr>
        <w:t>É</w:t>
      </w:r>
      <w:r>
        <w:rPr>
          <w:b/>
          <w:sz w:val="28"/>
        </w:rPr>
        <w:t>tude démographique de la population d’Afrique du Sud</w:t>
      </w:r>
    </w:p>
    <w:p w:rsidR="009D61D0" w:rsidRDefault="001E194B" w:rsidP="006E6E92">
      <w:pPr>
        <w:rPr>
          <w:b/>
          <w:sz w:val="32"/>
        </w:rPr>
      </w:pPr>
    </w:p>
    <w:p w:rsidR="00204949" w:rsidRDefault="001E194B" w:rsidP="006E6E92">
      <w:pPr>
        <w:rPr>
          <w:i/>
          <w:iCs/>
        </w:rPr>
      </w:pPr>
      <w:r w:rsidRPr="008D1DBB">
        <w:rPr>
          <w:i/>
          <w:iCs/>
        </w:rPr>
        <w:t>Réponse à la question</w:t>
      </w:r>
      <w:r>
        <w:rPr>
          <w:i/>
          <w:iCs/>
        </w:rPr>
        <w:t xml:space="preserve"> </w:t>
      </w:r>
      <w:r w:rsidRPr="00230966">
        <w:rPr>
          <w:i/>
          <w:iCs/>
        </w:rPr>
        <w:t>5</w:t>
      </w:r>
      <w:r w:rsidRPr="008D1DBB">
        <w:rPr>
          <w:i/>
          <w:iCs/>
        </w:rPr>
        <w:t> </w:t>
      </w:r>
    </w:p>
    <w:p w:rsidR="00230966" w:rsidRPr="008D1DBB" w:rsidRDefault="001E194B" w:rsidP="006E6E92">
      <w:pPr>
        <w:rPr>
          <w:i/>
          <w:iCs/>
        </w:rPr>
      </w:pPr>
    </w:p>
    <w:p w:rsidR="003320A1" w:rsidRPr="00204949" w:rsidRDefault="001E194B" w:rsidP="006E6E92">
      <w:pPr>
        <w:jc w:val="center"/>
      </w:pPr>
      <w:r>
        <w:rPr>
          <w:noProof/>
        </w:rPr>
        <w:drawing>
          <wp:inline distT="0" distB="0" distL="0" distR="0" wp14:anchorId="0D8BB393" wp14:editId="171450B3">
            <wp:extent cx="5709285" cy="4686300"/>
            <wp:effectExtent l="0" t="0" r="5715" b="0"/>
            <wp:docPr id="8" name="Image 1" descr="C:\Users\Proprietaire\AppData\Local\Temp\geogeb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C:\Users\Proprietaire\AppData\Local\Temp\geogebra.png"/>
                    <pic:cNvPicPr>
                      <a:picLocks noChangeAspect="1" noChangeArrowheads="1"/>
                    </pic:cNvPicPr>
                  </pic:nvPicPr>
                  <pic:blipFill rotWithShape="1">
                    <a:blip r:embed="rId16" cstate="print"/>
                    <a:srcRect l="2915" b="3166"/>
                    <a:stretch/>
                  </pic:blipFill>
                  <pic:spPr bwMode="auto">
                    <a:xfrm>
                      <a:off x="0" y="0"/>
                      <a:ext cx="5719320" cy="4694537"/>
                    </a:xfrm>
                    <a:prstGeom prst="rect">
                      <a:avLst/>
                    </a:prstGeom>
                    <a:noFill/>
                    <a:ln>
                      <a:noFill/>
                    </a:ln>
                    <a:extLst>
                      <a:ext uri="{53640926-AAD7-44D8-BBD7-CCE9431645EC}">
                        <a14:shadowObscured xmlns:a14="http://schemas.microsoft.com/office/drawing/2010/main"/>
                      </a:ext>
                    </a:extLst>
                  </pic:spPr>
                </pic:pic>
              </a:graphicData>
            </a:graphic>
          </wp:inline>
        </w:drawing>
      </w:r>
    </w:p>
    <w:sectPr w:rsidR="003320A1" w:rsidRPr="00204949" w:rsidSect="00E61EB3">
      <w:headerReference w:type="even" r:id="rId17"/>
      <w:headerReference w:type="default" r:id="rId18"/>
      <w:footerReference w:type="even" r:id="rId19"/>
      <w:footerReference w:type="default" r:id="rId20"/>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00B3" w:rsidRDefault="005200B3" w:rsidP="0053612B">
      <w:pPr>
        <w:spacing w:after="0" w:line="240" w:lineRule="auto"/>
      </w:pPr>
      <w:r>
        <w:separator/>
      </w:r>
    </w:p>
  </w:endnote>
  <w:endnote w:type="continuationSeparator" w:id="0">
    <w:p w:rsidR="005200B3" w:rsidRDefault="005200B3" w:rsidP="0053612B">
      <w:pPr>
        <w:spacing w:after="0" w:line="240" w:lineRule="auto"/>
      </w:pPr>
      <w:r>
        <w:continuationSeparator/>
      </w:r>
    </w:p>
  </w:endnote>
  <w:endnote w:type="continuationNotice" w:id="1">
    <w:p w:rsidR="005200B3" w:rsidRDefault="005200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DejaVu Serif">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10"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1E194B" w:rsidRPr="001E194B">
      <w:rPr>
        <w:noProof/>
        <w:color w:val="000000" w:themeColor="text1"/>
        <w:sz w:val="20"/>
      </w:rPr>
      <w:t>12</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1E194B" w:rsidRPr="001E194B">
      <w:rPr>
        <w:noProof/>
        <w:color w:val="000000" w:themeColor="text1"/>
        <w:sz w:val="20"/>
      </w:rPr>
      <w:t>12</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1E194B" w:rsidRPr="001E194B">
      <w:rPr>
        <w:noProof/>
        <w:color w:val="000000" w:themeColor="text1"/>
        <w:sz w:val="20"/>
      </w:rPr>
      <w:t>13</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1E194B" w:rsidRPr="001E194B">
      <w:rPr>
        <w:noProof/>
        <w:color w:val="000000" w:themeColor="text1"/>
        <w:sz w:val="20"/>
      </w:rPr>
      <w:t>13</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00B3" w:rsidRDefault="005200B3" w:rsidP="0053612B">
      <w:pPr>
        <w:spacing w:after="0" w:line="240" w:lineRule="auto"/>
      </w:pPr>
      <w:r>
        <w:separator/>
      </w:r>
    </w:p>
  </w:footnote>
  <w:footnote w:type="continuationSeparator" w:id="0">
    <w:p w:rsidR="005200B3" w:rsidRDefault="005200B3" w:rsidP="0053612B">
      <w:pPr>
        <w:spacing w:after="0" w:line="240" w:lineRule="auto"/>
      </w:pPr>
      <w:r>
        <w:continuationSeparator/>
      </w:r>
    </w:p>
  </w:footnote>
  <w:footnote w:type="continuationNotice" w:id="1">
    <w:p w:rsidR="005200B3" w:rsidRDefault="005200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12"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11"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194B"/>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00B3"/>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4F4"/>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rules v:ext="edit">
        <o:r id="V:Rule1" type="connector" idref="#AutoShape 19"/>
        <o:r id="V:Rule2" type="connector" idref="#AutoShape 1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5.jpeg"/><Relationship Id="rId10" Type="http://schemas.openxmlformats.org/officeDocument/2006/relationships/image" Target="media/image1.emf"/><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chart" Target="charts/chart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clairechalnot:Desktop:d&#233;poser%20pour%20IG:boulets%20mesur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manualLayout>
          <c:layoutTarget val="inner"/>
          <c:xMode val="edge"/>
          <c:yMode val="edge"/>
          <c:x val="0.133229506017219"/>
          <c:y val="0.21535599978101799"/>
          <c:w val="0.70576991206455297"/>
          <c:h val="0.63960859211778598"/>
        </c:manualLayout>
      </c:layout>
      <c:scatterChart>
        <c:scatterStyle val="lineMarker"/>
        <c:varyColors val="0"/>
        <c:ser>
          <c:idx val="0"/>
          <c:order val="0"/>
          <c:tx>
            <c:v>temps de refroidissement en fonction du rayon des boulets</c:v>
          </c:tx>
          <c:spPr>
            <a:ln w="25400">
              <a:noFill/>
            </a:ln>
            <a:effectLst/>
          </c:spPr>
          <c:marker>
            <c:symbol val="x"/>
            <c:size val="12"/>
            <c:spPr>
              <a:ln w="12700" cap="rnd" cmpd="sng" algn="ctr">
                <a:solidFill>
                  <a:sysClr val="windowText" lastClr="000000"/>
                </a:solidFill>
                <a:prstDash val="solid"/>
                <a:round/>
                <a:headEnd type="none" w="med" len="med"/>
                <a:tailEnd type="none" w="med" len="med"/>
              </a:ln>
              <a:effectLst/>
            </c:spPr>
          </c:marker>
          <c:dPt>
            <c:idx val="3"/>
            <c:marker>
              <c:symbol val="x"/>
              <c:size val="10"/>
            </c:marker>
            <c:bubble3D val="0"/>
            <c:extLst>
              <c:ext xmlns:c16="http://schemas.microsoft.com/office/drawing/2014/chart" uri="{C3380CC4-5D6E-409C-BE32-E72D297353CC}">
                <c16:uniqueId val="{00000000-69B6-0049-AF19-B9C45EDAE460}"/>
              </c:ext>
            </c:extLst>
          </c:dPt>
          <c:trendline>
            <c:spPr>
              <a:ln w="6350" cap="rnd" cmpd="sng" algn="ctr">
                <a:solidFill>
                  <a:schemeClr val="tx2">
                    <a:lumMod val="60000"/>
                    <a:lumOff val="40000"/>
                  </a:schemeClr>
                </a:solidFill>
                <a:prstDash val="solid"/>
                <a:round/>
                <a:headEnd type="none" w="med" len="med"/>
                <a:tailEnd type="none" w="med" len="med"/>
              </a:ln>
              <a:effectLst/>
            </c:spPr>
            <c:trendlineType val="linear"/>
            <c:dispRSqr val="0"/>
            <c:dispEq val="0"/>
          </c:trendline>
          <c:xVal>
            <c:numRef>
              <c:f>Feuil1!$A$3:$A$7</c:f>
              <c:numCache>
                <c:formatCode>General</c:formatCode>
                <c:ptCount val="5"/>
                <c:pt idx="0">
                  <c:v>1.35</c:v>
                </c:pt>
                <c:pt idx="1">
                  <c:v>2.7</c:v>
                </c:pt>
                <c:pt idx="2">
                  <c:v>4.05</c:v>
                </c:pt>
                <c:pt idx="3">
                  <c:v>5.4</c:v>
                </c:pt>
                <c:pt idx="4">
                  <c:v>6.75</c:v>
                </c:pt>
              </c:numCache>
            </c:numRef>
          </c:xVal>
          <c:yVal>
            <c:numRef>
              <c:f>Feuil1!$B$3:$B$7</c:f>
              <c:numCache>
                <c:formatCode>General</c:formatCode>
                <c:ptCount val="5"/>
                <c:pt idx="0">
                  <c:v>93</c:v>
                </c:pt>
                <c:pt idx="1">
                  <c:v>196</c:v>
                </c:pt>
                <c:pt idx="2">
                  <c:v>308</c:v>
                </c:pt>
                <c:pt idx="3">
                  <c:v>415</c:v>
                </c:pt>
                <c:pt idx="4">
                  <c:v>522</c:v>
                </c:pt>
              </c:numCache>
            </c:numRef>
          </c:yVal>
          <c:smooth val="0"/>
          <c:extLst>
            <c:ext xmlns:c16="http://schemas.microsoft.com/office/drawing/2014/chart" uri="{C3380CC4-5D6E-409C-BE32-E72D297353CC}">
              <c16:uniqueId val="{00000002-69B6-0049-AF19-B9C45EDAE460}"/>
            </c:ext>
          </c:extLst>
        </c:ser>
        <c:dLbls>
          <c:showLegendKey val="0"/>
          <c:showVal val="0"/>
          <c:showCatName val="0"/>
          <c:showSerName val="0"/>
          <c:showPercent val="0"/>
          <c:showBubbleSize val="0"/>
        </c:dLbls>
        <c:axId val="140628352"/>
        <c:axId val="140631040"/>
      </c:scatterChart>
      <c:valAx>
        <c:axId val="140628352"/>
        <c:scaling>
          <c:orientation val="minMax"/>
        </c:scaling>
        <c:delete val="0"/>
        <c:axPos val="b"/>
        <c:minorGridlines/>
        <c:numFmt formatCode="General" sourceLinked="1"/>
        <c:majorTickMark val="out"/>
        <c:minorTickMark val="none"/>
        <c:tickLblPos val="nextTo"/>
        <c:spPr>
          <a:ln>
            <a:solidFill>
              <a:schemeClr val="tx1"/>
            </a:solidFill>
            <a:tailEnd type="triangle"/>
          </a:ln>
        </c:spPr>
        <c:txPr>
          <a:bodyPr/>
          <a:lstStyle/>
          <a:p>
            <a:pPr>
              <a:defRPr sz="1200">
                <a:latin typeface="Arial"/>
                <a:cs typeface="Arial"/>
              </a:defRPr>
            </a:pPr>
            <a:endParaRPr lang="fr-FR"/>
          </a:p>
        </c:txPr>
        <c:crossAx val="140631040"/>
        <c:crosses val="autoZero"/>
        <c:crossBetween val="midCat"/>
      </c:valAx>
      <c:valAx>
        <c:axId val="140631040"/>
        <c:scaling>
          <c:orientation val="minMax"/>
        </c:scaling>
        <c:delete val="0"/>
        <c:axPos val="l"/>
        <c:majorGridlines/>
        <c:minorGridlines/>
        <c:numFmt formatCode="General" sourceLinked="1"/>
        <c:majorTickMark val="out"/>
        <c:minorTickMark val="none"/>
        <c:tickLblPos val="nextTo"/>
        <c:spPr>
          <a:ln>
            <a:solidFill>
              <a:schemeClr val="tx1"/>
            </a:solidFill>
            <a:tailEnd type="triangle"/>
          </a:ln>
        </c:spPr>
        <c:txPr>
          <a:bodyPr/>
          <a:lstStyle/>
          <a:p>
            <a:pPr>
              <a:defRPr sz="1200">
                <a:latin typeface="Arial"/>
                <a:cs typeface="Arial"/>
              </a:defRPr>
            </a:pPr>
            <a:endParaRPr lang="fr-FR"/>
          </a:p>
        </c:txPr>
        <c:crossAx val="140628352"/>
        <c:crosses val="autoZero"/>
        <c:crossBetween val="midCat"/>
      </c:valAx>
    </c:plotArea>
    <c:plotVisOnly val="1"/>
    <c:dispBlanksAs val="gap"/>
    <c:showDLblsOverMax val="0"/>
  </c:chart>
  <c:spPr>
    <a:noFill/>
    <a:ln w="12700" cap="flat" cmpd="sng" algn="ctr">
      <a:noFill/>
      <a:prstDash val="solid"/>
      <a:round/>
      <a:headEnd type="none" w="med" len="med"/>
      <a:tailEnd type="none" w="med" len="med"/>
    </a:ln>
  </c:spPr>
  <c:externalData r:id="rId1">
    <c:autoUpdate val="0"/>
  </c:externalData>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3.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2153</Words>
  <Characters>11847</Characters>
  <Application>Microsoft Office Word</Application>
  <DocSecurity>0</DocSecurity>
  <Lines>98</Lines>
  <Paragraphs>27</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13973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