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5200B3">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5200B3">
              <w:rPr>
                <w:rFonts w:eastAsia="Times New Roman"/>
                <w:color w:val="000000" w:themeColor="text1"/>
                <w:sz w:val="20"/>
                <w:szCs w:val="22"/>
              </w:rPr>
              <w:t>Terminale – Épreuve de fin de cycle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5200B3">
              <w:rPr>
                <w:rFonts w:eastAsia="Times New Roman"/>
                <w:b/>
                <w:color w:val="000000" w:themeColor="text1"/>
                <w:sz w:val="20"/>
                <w:szCs w:val="22"/>
              </w:rPr>
              <w:t xml:space="preserve"> 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5200B3"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5200B3">
              <w:rPr>
                <w:rFonts w:eastAsia="Times New Roman"/>
                <w:color w:val="000000" w:themeColor="text1"/>
                <w:sz w:val="20"/>
                <w:szCs w:val="22"/>
              </w:rPr>
              <w:t xml:space="preserve">isés (LV) :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5200B3">
              <w:rPr>
                <w:rFonts w:eastAsia="Times New Roman"/>
                <w:color w:val="000000" w:themeColor="text1"/>
                <w:sz w:val="20"/>
                <w:szCs w:val="22"/>
              </w:rPr>
              <w:t xml:space="preserve">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A62D9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A62D9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A62D9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5200B3" w:rsidRPr="00626E0F">
              <w:rPr>
                <w:rFonts w:eastAsia="Times New Roman"/>
                <w:color w:val="000000" w:themeColor="text1"/>
                <w:sz w:val="20"/>
                <w:szCs w:val="22"/>
              </w:rPr>
              <w:t xml:space="preserve"> </w:t>
            </w:r>
            <w:r w:rsidR="005200B3">
              <w:rPr>
                <w:rFonts w:eastAsia="Times New Roman"/>
                <w:color w:val="000000" w:themeColor="text1"/>
                <w:sz w:val="20"/>
                <w:szCs w:val="22"/>
              </w:rPr>
              <w:fldChar w:fldCharType="begin"/>
            </w:r>
            <w:r w:rsidR="005200B3">
              <w:rPr>
                <w:rFonts w:eastAsia="Times New Roman"/>
                <w:color w:val="000000" w:themeColor="text1"/>
                <w:sz w:val="20"/>
                <w:szCs w:val="22"/>
              </w:rPr>
              <w:instrText xml:space="preserve"> NUMPAGES   \* MERGEFORMAT </w:instrText>
            </w:r>
            <w:r w:rsidR="005200B3">
              <w:rPr>
                <w:rFonts w:eastAsia="Times New Roman"/>
                <w:color w:val="000000" w:themeColor="text1"/>
                <w:sz w:val="20"/>
                <w:szCs w:val="22"/>
              </w:rPr>
              <w:fldChar w:fldCharType="separate"/>
            </w:r>
            <w:r w:rsidR="00A62D94">
              <w:rPr>
                <w:rFonts w:eastAsia="Times New Roman"/>
                <w:noProof/>
                <w:color w:val="000000" w:themeColor="text1"/>
                <w:sz w:val="20"/>
                <w:szCs w:val="22"/>
              </w:rPr>
              <w:t>13</w:t>
            </w:r>
            <w:r w:rsidR="005200B3">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400A0D" w:rsidRDefault="005200B3" w:rsidP="00400A0D">
      <w:pPr>
        <w:pStyle w:val="EnTetePiedsDePage"/>
        <w:spacing w:after="120"/>
        <w:jc w:val="both"/>
        <w:rPr>
          <w:b/>
          <w:bCs/>
          <w:sz w:val="28"/>
          <w:szCs w:val="28"/>
        </w:rPr>
      </w:pPr>
      <w:r>
        <w:rPr>
          <w:b/>
          <w:bCs/>
          <w:sz w:val="28"/>
          <w:szCs w:val="28"/>
        </w:rPr>
        <w:t xml:space="preserve">Parmi les trois exercices qui composent ce sujet, le candidat </w:t>
      </w:r>
      <w:r w:rsidR="007274F4">
        <w:rPr>
          <w:b/>
          <w:bCs/>
          <w:sz w:val="28"/>
          <w:szCs w:val="28"/>
        </w:rPr>
        <w:t>en traite obligatoirement deux.</w:t>
      </w:r>
    </w:p>
    <w:p w:rsidR="00400A0D" w:rsidRDefault="005200B3" w:rsidP="00400A0D">
      <w:pPr>
        <w:pStyle w:val="EnTetePiedsDePage"/>
        <w:spacing w:after="120"/>
        <w:jc w:val="both"/>
        <w:rPr>
          <w:b/>
          <w:bCs/>
          <w:sz w:val="28"/>
          <w:szCs w:val="28"/>
        </w:rPr>
      </w:pPr>
      <w:r>
        <w:rPr>
          <w:b/>
          <w:bCs/>
          <w:sz w:val="28"/>
          <w:szCs w:val="28"/>
        </w:rPr>
        <w:t xml:space="preserve">L’exercice 1, du niveau de la classe de terminale, doit être </w:t>
      </w:r>
      <w:r>
        <w:rPr>
          <w:b/>
          <w:bCs/>
          <w:sz w:val="28"/>
          <w:szCs w:val="28"/>
          <w:u w:val="single"/>
        </w:rPr>
        <w:t>obligatoirement</w:t>
      </w:r>
      <w:r w:rsidR="007274F4">
        <w:rPr>
          <w:b/>
          <w:bCs/>
          <w:sz w:val="28"/>
          <w:szCs w:val="28"/>
        </w:rPr>
        <w:t xml:space="preserve"> abordé.</w:t>
      </w:r>
    </w:p>
    <w:p w:rsidR="00400A0D" w:rsidRPr="00645773" w:rsidRDefault="005200B3" w:rsidP="00400A0D">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du niveau de la classe de première. Il indique son choix en début de copie.</w:t>
      </w:r>
      <w:r>
        <w:br w:type="page"/>
      </w:r>
    </w:p>
    <w:p w:rsidR="000D49A5" w:rsidRPr="00A77456" w:rsidRDefault="00A62D94" w:rsidP="000D49A5">
      <w:pPr>
        <w:spacing w:after="8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terminale</w:t>
      </w:r>
    </w:p>
    <w:p w:rsidR="000D49A5" w:rsidRPr="00A77456" w:rsidRDefault="00A62D94" w:rsidP="000D49A5">
      <w:pPr>
        <w:spacing w:after="240"/>
        <w:jc w:val="center"/>
        <w:rPr>
          <w:rFonts w:eastAsia="Arial" w:cs="Arial"/>
          <w:i/>
        </w:rPr>
      </w:pPr>
      <w:r w:rsidRPr="00A77456">
        <w:rPr>
          <w:rFonts w:eastAsia="Arial" w:cs="Arial"/>
          <w:i/>
        </w:rPr>
        <w:t>Thème « </w:t>
      </w:r>
      <w:r>
        <w:rPr>
          <w:rFonts w:eastAsia="Arial" w:cs="Arial"/>
          <w:i/>
        </w:rPr>
        <w:t>Le futur des énergies »</w:t>
      </w:r>
    </w:p>
    <w:p w:rsidR="000D49A5" w:rsidRPr="00D87AD1" w:rsidRDefault="00A62D94" w:rsidP="000D49A5">
      <w:pPr>
        <w:spacing w:after="120"/>
        <w:jc w:val="both"/>
        <w:rPr>
          <w:b/>
          <w:sz w:val="22"/>
        </w:rPr>
      </w:pPr>
      <w:r>
        <w:rPr>
          <w:b/>
          <w:sz w:val="28"/>
        </w:rPr>
        <w:t>L’agrivoltaïsme</w:t>
      </w:r>
    </w:p>
    <w:p w:rsidR="00E32F53" w:rsidRDefault="00A62D94" w:rsidP="00D30996">
      <w:pPr>
        <w:spacing w:after="240"/>
      </w:pPr>
      <w:r w:rsidRPr="00D74F67">
        <w:rPr>
          <w:i/>
        </w:rPr>
        <w:t>Sur 10 points</w:t>
      </w:r>
    </w:p>
    <w:p w:rsidR="00F1093C" w:rsidRDefault="00A62D94" w:rsidP="00024A64">
      <w:pPr>
        <w:spacing w:after="120" w:line="276" w:lineRule="auto"/>
        <w:jc w:val="both"/>
      </w:pPr>
      <w:r>
        <w:t xml:space="preserve">L’agrivoltaïsme est un système </w:t>
      </w:r>
      <w:r>
        <w:t>destiné à protéger l’agriculture des aléas météorologiques et</w:t>
      </w:r>
      <w:r w:rsidRPr="24AA66AB">
        <w:t>, à titre secondaire, à produire de l’électricité d</w:t>
      </w:r>
      <w:r>
        <w:t>’origine photovoltaïque. Il est constitué de panneaux, recyclables à 90 %, situés à environ 4,50 m de hauteur afin de pouvoir laisser passer tou</w:t>
      </w:r>
      <w:r>
        <w:t>s les engins agricoles. Les panneaux sont mobiles, pilotés à distance grâce à un algorithme complexe, au gré des besoins : à plat pour protéger la production d’une pluie battante, d’un soleil brûlant, du gel ou de la grêle, ou à la verticale pour laisser p</w:t>
      </w:r>
      <w:r>
        <w:t>asser un maximum de lumière et de pluie.</w:t>
      </w:r>
      <w:r>
        <w:t xml:space="preserve"> </w:t>
      </w:r>
    </w:p>
    <w:p w:rsidR="00BB07C6" w:rsidRDefault="00A62D94" w:rsidP="00094904">
      <w:pPr>
        <w:spacing w:line="276" w:lineRule="auto"/>
        <w:jc w:val="center"/>
      </w:pPr>
      <w:r>
        <w:rPr>
          <w:noProof/>
        </w:rPr>
        <w:drawing>
          <wp:inline distT="0" distB="0" distL="0" distR="0" wp14:anchorId="6B2950D6" wp14:editId="4467D8F2">
            <wp:extent cx="3186420" cy="2123792"/>
            <wp:effectExtent l="0" t="0" r="1905" b="0"/>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197221" cy="2130991"/>
                    </a:xfrm>
                    <a:prstGeom prst="rect">
                      <a:avLst/>
                    </a:prstGeom>
                    <a:noFill/>
                    <a:ln>
                      <a:noFill/>
                    </a:ln>
                  </pic:spPr>
                </pic:pic>
              </a:graphicData>
            </a:graphic>
          </wp:inline>
        </w:drawing>
      </w:r>
    </w:p>
    <w:p w:rsidR="00F1093C" w:rsidRPr="00094904" w:rsidRDefault="00A62D94" w:rsidP="00024A64">
      <w:pPr>
        <w:pBdr>
          <w:top w:val="single" w:sz="4" w:space="6" w:color="auto"/>
          <w:left w:val="single" w:sz="4" w:space="4" w:color="auto"/>
          <w:bottom w:val="single" w:sz="4" w:space="6" w:color="auto"/>
          <w:right w:val="single" w:sz="4" w:space="4" w:color="auto"/>
        </w:pBdr>
        <w:spacing w:after="120" w:line="276" w:lineRule="auto"/>
        <w:jc w:val="both"/>
        <w:rPr>
          <w:b/>
          <w:bCs/>
        </w:rPr>
      </w:pPr>
      <w:r w:rsidRPr="00094904">
        <w:rPr>
          <w:b/>
          <w:bCs/>
          <w:u w:val="single"/>
        </w:rPr>
        <w:t>Document 1 :</w:t>
      </w:r>
      <w:r w:rsidRPr="00094904">
        <w:rPr>
          <w:b/>
          <w:bCs/>
        </w:rPr>
        <w:t xml:space="preserve"> le projet à Tresserre</w:t>
      </w:r>
    </w:p>
    <w:p w:rsidR="00F1093C" w:rsidRDefault="00A62D94" w:rsidP="00024A64">
      <w:pPr>
        <w:pBdr>
          <w:top w:val="single" w:sz="4" w:space="6" w:color="auto"/>
          <w:left w:val="single" w:sz="4" w:space="4" w:color="auto"/>
          <w:bottom w:val="single" w:sz="4" w:space="6" w:color="auto"/>
          <w:right w:val="single" w:sz="4" w:space="4" w:color="auto"/>
        </w:pBdr>
        <w:spacing w:after="120" w:line="276" w:lineRule="auto"/>
        <w:jc w:val="both"/>
      </w:pPr>
      <w:r>
        <w:t xml:space="preserve">Le projet </w:t>
      </w:r>
      <w:r w:rsidRPr="24AA66AB">
        <w:t xml:space="preserve">à Tresserre (Pyrénées-Orientales) </w:t>
      </w:r>
      <w:r>
        <w:t>couvre une surface agricole de 4,5 hectares*. Avec ses 7 800 panneaux, le taux de couverture photovoltaïque s’élève à 40 %. Le coût d</w:t>
      </w:r>
      <w:r>
        <w:t xml:space="preserve">u projet s’élevant </w:t>
      </w:r>
      <w:r w:rsidRPr="24AA66AB">
        <w:t>à 20 millions d’euros,</w:t>
      </w:r>
      <w:r>
        <w:t xml:space="preserve"> une rentabilité de cette centrale est espérée d’ici à dix ans </w:t>
      </w:r>
      <w:r w:rsidRPr="24AA66AB">
        <w:t>grâce à la vente de l’électricité.</w:t>
      </w:r>
      <w:r>
        <w:t xml:space="preserve"> Les 2,2 mégawatts** produits pour un </w:t>
      </w:r>
      <w:r w:rsidRPr="24AA66AB">
        <w:t>éclairement énergétique</w:t>
      </w:r>
      <w:r>
        <w:t xml:space="preserve"> </w:t>
      </w:r>
      <w:r w:rsidRPr="24AA66AB">
        <w:t xml:space="preserve">de </w:t>
      </w:r>
      <w:r>
        <w:t>800 W/m², à une température ambiante de 20°C et à une vitesse du vent de 1 m/s, produiraient l’énergie suffisante pour la consommation de plus de 650 foyers.</w:t>
      </w:r>
    </w:p>
    <w:p w:rsidR="002A7FE8" w:rsidRPr="002A7FE8" w:rsidRDefault="00A62D94" w:rsidP="002A7FE8">
      <w:pPr>
        <w:pBdr>
          <w:top w:val="single" w:sz="4" w:space="6" w:color="auto"/>
          <w:left w:val="single" w:sz="4" w:space="4" w:color="auto"/>
          <w:bottom w:val="single" w:sz="4" w:space="6" w:color="auto"/>
          <w:right w:val="single" w:sz="4" w:space="4" w:color="auto"/>
        </w:pBdr>
        <w:spacing w:after="120" w:line="276" w:lineRule="auto"/>
        <w:rPr>
          <w:sz w:val="22"/>
        </w:rPr>
      </w:pPr>
      <w:r w:rsidRPr="002A7FE8">
        <w:rPr>
          <w:sz w:val="22"/>
        </w:rPr>
        <w:t xml:space="preserve">* 1 hectare (ha) = 10 000 m²  </w:t>
      </w:r>
      <w:r w:rsidRPr="002A7FE8">
        <w:rPr>
          <w:sz w:val="22"/>
        </w:rPr>
        <w:tab/>
        <w:t>** 1 mégawatt (MW) = 1 000 000 W</w:t>
      </w:r>
    </w:p>
    <w:p w:rsidR="00F1093C" w:rsidRPr="00094904" w:rsidRDefault="00A62D94" w:rsidP="002A7FE8">
      <w:pPr>
        <w:pBdr>
          <w:top w:val="single" w:sz="4" w:space="6" w:color="auto"/>
          <w:left w:val="single" w:sz="4" w:space="4" w:color="auto"/>
          <w:bottom w:val="single" w:sz="4" w:space="6" w:color="auto"/>
          <w:right w:val="single" w:sz="4" w:space="4" w:color="auto"/>
        </w:pBdr>
        <w:spacing w:after="120" w:line="276" w:lineRule="auto"/>
        <w:jc w:val="right"/>
        <w:rPr>
          <w:i/>
          <w:iCs/>
          <w:sz w:val="20"/>
          <w:szCs w:val="20"/>
        </w:rPr>
      </w:pPr>
      <w:r>
        <w:rPr>
          <w:i/>
          <w:iCs/>
          <w:sz w:val="20"/>
          <w:szCs w:val="20"/>
        </w:rPr>
        <w:t>Source : https://sunagri.fr</w:t>
      </w:r>
    </w:p>
    <w:p w:rsidR="00DF17EC" w:rsidRPr="00094904" w:rsidRDefault="00A62D94" w:rsidP="00D74F63">
      <w:pPr>
        <w:pBdr>
          <w:top w:val="single" w:sz="4" w:space="6" w:color="auto"/>
          <w:left w:val="single" w:sz="4" w:space="4" w:color="auto"/>
          <w:bottom w:val="single" w:sz="4" w:space="6" w:color="auto"/>
          <w:right w:val="single" w:sz="4" w:space="4" w:color="auto"/>
        </w:pBdr>
        <w:spacing w:after="0"/>
        <w:jc w:val="both"/>
        <w:rPr>
          <w:b/>
          <w:bCs/>
          <w:u w:val="single"/>
        </w:rPr>
      </w:pPr>
      <w:r w:rsidRPr="24AA66AB">
        <w:rPr>
          <w:b/>
          <w:bCs/>
          <w:u w:val="single"/>
        </w:rPr>
        <w:lastRenderedPageBreak/>
        <w:t>Document 2 :</w:t>
      </w:r>
      <w:r w:rsidRPr="24AA66AB">
        <w:rPr>
          <w:b/>
          <w:bCs/>
        </w:rPr>
        <w:t xml:space="preserve"> courbes représentatives types de l’intensité </w:t>
      </w:r>
      <w:r w:rsidRPr="24AA66AB">
        <w:rPr>
          <w:b/>
          <w:bCs/>
          <w:i/>
          <w:iCs/>
        </w:rPr>
        <w:t>I</w:t>
      </w:r>
      <w:r w:rsidRPr="24AA66AB">
        <w:rPr>
          <w:b/>
          <w:bCs/>
        </w:rPr>
        <w:t xml:space="preserve"> en fonction de la tension </w:t>
      </w:r>
      <w:r w:rsidRPr="24AA66AB">
        <w:rPr>
          <w:b/>
          <w:bCs/>
          <w:i/>
          <w:iCs/>
        </w:rPr>
        <w:t>U</w:t>
      </w:r>
      <w:r w:rsidRPr="24AA66AB">
        <w:rPr>
          <w:b/>
          <w:bCs/>
        </w:rPr>
        <w:t xml:space="preserve"> aux bornes d’un panneau photovoltaïque, selon l’éclairement reçu pour l’une (à température donnée), selon la température de fonctionnement pour l’autre </w:t>
      </w:r>
      <w:r>
        <w:rPr>
          <w:b/>
          <w:bCs/>
        </w:rPr>
        <w:t>(à éclairement d</w:t>
      </w:r>
      <w:r>
        <w:rPr>
          <w:b/>
          <w:bCs/>
        </w:rPr>
        <w:t>onné)</w:t>
      </w:r>
    </w:p>
    <w:p w:rsidR="00E962A0" w:rsidRDefault="00A62D94" w:rsidP="002542A1">
      <w:pPr>
        <w:pBdr>
          <w:top w:val="single" w:sz="4" w:space="6" w:color="auto"/>
          <w:left w:val="single" w:sz="4" w:space="4" w:color="auto"/>
          <w:bottom w:val="single" w:sz="4" w:space="6" w:color="auto"/>
          <w:right w:val="single" w:sz="4" w:space="4" w:color="auto"/>
        </w:pBdr>
      </w:pPr>
      <w:r>
        <w:rPr>
          <w:noProof/>
        </w:rPr>
        <mc:AlternateContent>
          <mc:Choice Requires="wps">
            <w:drawing>
              <wp:inline distT="0" distB="0" distL="0" distR="0" wp14:anchorId="19BAFBB1" wp14:editId="647C2401">
                <wp:extent cx="5676900" cy="3665095"/>
                <wp:effectExtent l="0" t="0" r="0" b="0"/>
                <wp:docPr id="2" name="Zone de texte 8"/>
                <wp:cNvGraphicFramePr/>
                <a:graphic xmlns:a="http://schemas.openxmlformats.org/drawingml/2006/main">
                  <a:graphicData uri="http://schemas.microsoft.com/office/word/2010/wordprocessingShape">
                    <wps:wsp>
                      <wps:cNvSpPr txBox="1"/>
                      <wps:spPr>
                        <a:xfrm>
                          <a:off x="0" y="0"/>
                          <a:ext cx="5676900" cy="3665095"/>
                        </a:xfrm>
                        <a:prstGeom prst="rect">
                          <a:avLst/>
                        </a:prstGeom>
                        <a:noFill/>
                        <a:ln w="6350">
                          <a:noFill/>
                        </a:ln>
                      </wps:spPr>
                      <wps:txbx>
                        <w:txbxContent>
                          <w:p w:rsidR="0067685D" w:rsidRDefault="00A62D94" w:rsidP="00DF17EC">
                            <w:pPr>
                              <w:jc w:val="center"/>
                            </w:pPr>
                            <w:r w:rsidRPr="008B19B9">
                              <w:rPr>
                                <w:noProof/>
                              </w:rPr>
                              <w:drawing>
                                <wp:inline distT="0" distB="0" distL="0" distR="0" wp14:anchorId="7006584D" wp14:editId="4246925B">
                                  <wp:extent cx="5585258" cy="3271755"/>
                                  <wp:effectExtent l="0" t="0" r="0" b="5080"/>
                                  <wp:docPr id="3" name="Imag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8836" cy="3273851"/>
                                          </a:xfrm>
                                          <a:prstGeom prst="rect">
                                            <a:avLst/>
                                          </a:prstGeom>
                                          <a:noFill/>
                                          <a:ln>
                                            <a:noFill/>
                                          </a:ln>
                                        </pic:spPr>
                                      </pic:pic>
                                    </a:graphicData>
                                  </a:graphic>
                                </wp:inline>
                              </w:drawing>
                            </w:r>
                          </w:p>
                          <w:p w:rsidR="0067685D" w:rsidRPr="00094904" w:rsidRDefault="00A62D94" w:rsidP="00D74F63">
                            <w:pPr>
                              <w:spacing w:after="0" w:line="276" w:lineRule="auto"/>
                              <w:jc w:val="right"/>
                              <w:rPr>
                                <w:i/>
                                <w:iCs/>
                                <w:sz w:val="20"/>
                                <w:szCs w:val="20"/>
                              </w:rPr>
                            </w:pPr>
                            <w:r w:rsidRPr="00094904">
                              <w:rPr>
                                <w:i/>
                                <w:iCs/>
                                <w:sz w:val="20"/>
                                <w:szCs w:val="20"/>
                              </w:rPr>
                              <w:t>So</w:t>
                            </w:r>
                            <w:r>
                              <w:rPr>
                                <w:i/>
                                <w:iCs/>
                                <w:sz w:val="20"/>
                                <w:szCs w:val="20"/>
                              </w:rPr>
                              <w:t>urce : http://www.photowatt.com</w:t>
                            </w:r>
                          </w:p>
                          <w:p w:rsidR="0067685D" w:rsidRDefault="00A62D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19BAFBB1" id="_x0000_t202" coordsize="21600,21600" o:spt="202" path="m,l,21600r21600,l21600,xe">
                <v:stroke joinstyle="miter"/>
                <v:path gradientshapeok="t" o:connecttype="rect"/>
              </v:shapetype>
              <v:shape id="Zone de texte 8" o:spid="_x0000_s1026" type="#_x0000_t202" style="width:447pt;height:28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" filled="f" stroked="f" strokeweight=".5pt">
                <v:textbox>
                  <w:txbxContent>
                    <w:p w:rsidR="0067685D" w:rsidRDefault="00727663" w:rsidP="00DF17EC">
                      <w:pPr>
                        <w:jc w:val="center"/>
                      </w:pPr>
                      <w:r w:rsidRPr="008B19B9">
                        <w:rPr>
                          <w:noProof/>
                        </w:rPr>
                        <w:drawing>
                          <wp:inline distT="0" distB="0" distL="0" distR="0" wp14:anchorId="7006584D" wp14:editId="4246925B">
                            <wp:extent cx="5585258" cy="3271755"/>
                            <wp:effectExtent l="0" t="0" r="0" b="5080"/>
                            <wp:docPr id="4" name="Imag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88836" cy="3273851"/>
                                    </a:xfrm>
                                    <a:prstGeom prst="rect">
                                      <a:avLst/>
                                    </a:prstGeom>
                                    <a:noFill/>
                                    <a:ln>
                                      <a:noFill/>
                                    </a:ln>
                                  </pic:spPr>
                                </pic:pic>
                              </a:graphicData>
                            </a:graphic>
                          </wp:inline>
                        </w:drawing>
                      </w:r>
                    </w:p>
                    <w:p w:rsidR="0067685D" w:rsidRPr="00094904" w:rsidRDefault="00727663" w:rsidP="00D74F63">
                      <w:pPr>
                        <w:spacing w:after="0" w:line="276" w:lineRule="auto"/>
                        <w:jc w:val="right"/>
                        <w:rPr>
                          <w:i/>
                          <w:iCs/>
                          <w:sz w:val="20"/>
                          <w:szCs w:val="20"/>
                        </w:rPr>
                      </w:pPr>
                      <w:r w:rsidRPr="00094904">
                        <w:rPr>
                          <w:i/>
                          <w:iCs/>
                          <w:sz w:val="20"/>
                          <w:szCs w:val="20"/>
                        </w:rPr>
                        <w:t>So</w:t>
                      </w:r>
                      <w:r w:rsidR="002542A1">
                        <w:rPr>
                          <w:i/>
                          <w:iCs/>
                          <w:sz w:val="20"/>
                          <w:szCs w:val="20"/>
                        </w:rPr>
                        <w:t>urce : http://www.photowatt.com</w:t>
                      </w:r>
                    </w:p>
                    <w:p w:rsidR="0067685D" w:rsidRDefault="00727663"/>
                  </w:txbxContent>
                </v:textbox>
                <w10:anchorlock/>
              </v:shape>
            </w:pict>
          </mc:Fallback>
        </mc:AlternateContent>
      </w:r>
    </w:p>
    <w:p w:rsidR="00094904" w:rsidRDefault="00A62D94" w:rsidP="00D74F63">
      <w:pPr>
        <w:spacing w:after="0"/>
        <w:rPr>
          <w:u w:val="single"/>
        </w:rPr>
      </w:pPr>
    </w:p>
    <w:p w:rsidR="00F1093C" w:rsidRPr="00094904" w:rsidRDefault="00A62D94" w:rsidP="00772BD9">
      <w:pPr>
        <w:pBdr>
          <w:top w:val="single" w:sz="4" w:space="6" w:color="auto"/>
          <w:left w:val="single" w:sz="4" w:space="4" w:color="auto"/>
          <w:bottom w:val="single" w:sz="4" w:space="6" w:color="auto"/>
          <w:right w:val="single" w:sz="4" w:space="4" w:color="auto"/>
        </w:pBdr>
        <w:spacing w:after="120"/>
        <w:rPr>
          <w:b/>
          <w:bCs/>
          <w:u w:val="single"/>
        </w:rPr>
      </w:pPr>
      <w:r w:rsidRPr="00094904">
        <w:rPr>
          <w:b/>
          <w:bCs/>
          <w:u w:val="single"/>
        </w:rPr>
        <w:t>Document 3 :</w:t>
      </w:r>
      <w:r w:rsidRPr="00094904">
        <w:rPr>
          <w:b/>
          <w:bCs/>
        </w:rPr>
        <w:t xml:space="preserve"> p</w:t>
      </w:r>
      <w:r>
        <w:rPr>
          <w:b/>
          <w:bCs/>
        </w:rPr>
        <w:t>roduction du silicium</w:t>
      </w:r>
    </w:p>
    <w:p w:rsidR="00F1093C" w:rsidRDefault="00A62D94" w:rsidP="00772BD9">
      <w:pPr>
        <w:pBdr>
          <w:top w:val="single" w:sz="4" w:space="6" w:color="auto"/>
          <w:left w:val="single" w:sz="4" w:space="4" w:color="auto"/>
          <w:bottom w:val="single" w:sz="4" w:space="6" w:color="auto"/>
          <w:right w:val="single" w:sz="4" w:space="4" w:color="auto"/>
        </w:pBdr>
        <w:spacing w:after="120" w:line="276" w:lineRule="auto"/>
        <w:jc w:val="both"/>
      </w:pPr>
      <w:r>
        <w:t xml:space="preserve">La très grande majorité des panneaux solaires sont constitués de silicium cristallin, </w:t>
      </w:r>
      <w:r w:rsidRPr="24AA66AB">
        <w:t>élément</w:t>
      </w:r>
      <w:r>
        <w:t xml:space="preserve"> que l’on extrait du sable ou du quartz. En 1990, la production mondiale de silicium de qualité « métallique » atteignait 800 000 tonnes. Seulement 4 % a obtenu la qualité électronique. Après les dernières étapes de purification et d’importants déchets de </w:t>
      </w:r>
      <w:r>
        <w:t>fabrication, seulement 0,4 % a fini dans des cellules photovoltaïques et 0,1 % dans des composants électroniques. Il aura fallu utiliser plus de 100 000 tonnes de chlore et 200 000 tonnes d’acides et solvant divers dont le traitement n’était pas assuré à l</w:t>
      </w:r>
      <w:r>
        <w:t xml:space="preserve">’époque. La pollution constatée atteste que ces effluents toxiques ont été rejetés dans l’environnement, polluant les nappes phréatiques. </w:t>
      </w:r>
    </w:p>
    <w:p w:rsidR="00F1093C" w:rsidRPr="00094904" w:rsidRDefault="00A62D94" w:rsidP="00772BD9">
      <w:pPr>
        <w:pBdr>
          <w:top w:val="single" w:sz="4" w:space="6" w:color="auto"/>
          <w:left w:val="single" w:sz="4" w:space="4" w:color="auto"/>
          <w:bottom w:val="single" w:sz="4" w:space="6" w:color="auto"/>
          <w:right w:val="single" w:sz="4" w:space="4" w:color="auto"/>
        </w:pBdr>
        <w:spacing w:after="120" w:line="276" w:lineRule="auto"/>
        <w:jc w:val="right"/>
        <w:rPr>
          <w:i/>
          <w:iCs/>
          <w:sz w:val="20"/>
          <w:szCs w:val="20"/>
        </w:rPr>
      </w:pPr>
      <w:r>
        <w:rPr>
          <w:i/>
          <w:iCs/>
          <w:sz w:val="20"/>
          <w:szCs w:val="20"/>
        </w:rPr>
        <w:t>Source</w:t>
      </w:r>
      <w:r w:rsidRPr="00094904">
        <w:rPr>
          <w:i/>
          <w:iCs/>
          <w:sz w:val="20"/>
          <w:szCs w:val="20"/>
        </w:rPr>
        <w:t> :</w:t>
      </w:r>
      <w:r>
        <w:rPr>
          <w:i/>
          <w:iCs/>
          <w:sz w:val="20"/>
          <w:szCs w:val="20"/>
        </w:rPr>
        <w:t xml:space="preserve"> d’après</w:t>
      </w:r>
      <w:r w:rsidRPr="00094904">
        <w:rPr>
          <w:i/>
          <w:iCs/>
          <w:sz w:val="20"/>
          <w:szCs w:val="20"/>
        </w:rPr>
        <w:t xml:space="preserve"> https://ecoin</w:t>
      </w:r>
      <w:r>
        <w:rPr>
          <w:i/>
          <w:iCs/>
          <w:sz w:val="20"/>
          <w:szCs w:val="20"/>
        </w:rPr>
        <w:t>fo.cnrs.fr/2010/10/20/5-impacts</w:t>
      </w:r>
    </w:p>
    <w:p w:rsidR="009D1B14" w:rsidRDefault="00A62D94" w:rsidP="00AA7BF6">
      <w:pPr>
        <w:spacing w:after="0" w:line="240" w:lineRule="auto"/>
      </w:pPr>
    </w:p>
    <w:p w:rsidR="00AB65CB" w:rsidRDefault="00A62D94" w:rsidP="00AB65CB"/>
    <w:p w:rsidR="008E1BB6" w:rsidRDefault="00A62D94" w:rsidP="00AB65CB">
      <w:pPr>
        <w:spacing w:after="240"/>
        <w:jc w:val="both"/>
      </w:pPr>
      <w:r w:rsidRPr="00CC1BD0">
        <w:rPr>
          <w:b/>
        </w:rPr>
        <w:t>1-</w:t>
      </w:r>
      <w:r>
        <w:t>  </w:t>
      </w:r>
      <w:r w:rsidRPr="00AB65CB">
        <w:t xml:space="preserve">Décrire </w:t>
      </w:r>
      <w:r>
        <w:t>la chaîne de transformation énergétique r</w:t>
      </w:r>
      <w:r>
        <w:t>eprésentant la conversion d’énergie qui a lieu dans une cellule photovoltaïque.</w:t>
      </w:r>
    </w:p>
    <w:p w:rsidR="00E31AFE" w:rsidRDefault="00A62D94" w:rsidP="00AB65CB">
      <w:pPr>
        <w:spacing w:after="240"/>
        <w:jc w:val="both"/>
      </w:pPr>
      <w:r w:rsidRPr="00CC1BD0">
        <w:rPr>
          <w:b/>
        </w:rPr>
        <w:t>2-</w:t>
      </w:r>
      <w:r>
        <w:t>  Définir le rendement d’une cellule photovoltaïque.</w:t>
      </w:r>
    </w:p>
    <w:p w:rsidR="001804E6" w:rsidRDefault="00A62D94" w:rsidP="00AB65CB">
      <w:pPr>
        <w:spacing w:after="240"/>
        <w:jc w:val="both"/>
      </w:pPr>
      <w:r w:rsidRPr="00CC1BD0">
        <w:rPr>
          <w:b/>
        </w:rPr>
        <w:t>3-</w:t>
      </w:r>
      <w:r>
        <w:t xml:space="preserve">  Calculer la surface totale des panneaux photovoltaïques du projet Tresserre </w:t>
      </w:r>
      <w:r w:rsidRPr="00AB65CB">
        <w:t xml:space="preserve">évoqué dans le document </w:t>
      </w:r>
      <w:r>
        <w:t>1.</w:t>
      </w:r>
    </w:p>
    <w:p w:rsidR="0007556E" w:rsidRDefault="00A62D94" w:rsidP="00AB65CB">
      <w:pPr>
        <w:spacing w:after="240"/>
        <w:jc w:val="both"/>
      </w:pPr>
      <w:r w:rsidRPr="00CC1BD0">
        <w:rPr>
          <w:b/>
        </w:rPr>
        <w:t>4-</w:t>
      </w:r>
      <w:r>
        <w:t>  Montrer qu</w:t>
      </w:r>
      <w:r>
        <w:t>e la puissance moyenne délivrée, en watts, pour un mètre carré de panneau photovoltaïque est de 122 W dans les conditions</w:t>
      </w:r>
      <w:r w:rsidRPr="00EF177C">
        <w:t xml:space="preserve"> </w:t>
      </w:r>
      <w:r>
        <w:t xml:space="preserve">du </w:t>
      </w:r>
      <w:r w:rsidRPr="00EF177C">
        <w:t xml:space="preserve">projet </w:t>
      </w:r>
      <w:r>
        <w:t xml:space="preserve">de </w:t>
      </w:r>
      <w:r w:rsidRPr="00EF177C">
        <w:t>Tresserre</w:t>
      </w:r>
      <w:r>
        <w:t>.</w:t>
      </w:r>
      <w:r w:rsidRPr="001804E6">
        <w:t xml:space="preserve"> </w:t>
      </w:r>
    </w:p>
    <w:p w:rsidR="00040C69" w:rsidRDefault="00A62D94" w:rsidP="00AB65CB">
      <w:pPr>
        <w:spacing w:after="240"/>
        <w:jc w:val="both"/>
      </w:pPr>
      <w:r w:rsidRPr="00CC1BD0">
        <w:rPr>
          <w:b/>
        </w:rPr>
        <w:t>5-</w:t>
      </w:r>
      <w:r>
        <w:t>  Calculer le rendement de l’installation.</w:t>
      </w:r>
    </w:p>
    <w:p w:rsidR="0007556E" w:rsidRDefault="00A62D94" w:rsidP="00AB65CB">
      <w:pPr>
        <w:spacing w:after="240"/>
        <w:jc w:val="both"/>
      </w:pPr>
      <w:r w:rsidRPr="00CC1BD0">
        <w:rPr>
          <w:b/>
        </w:rPr>
        <w:t>6-</w:t>
      </w:r>
      <w:r>
        <w:t xml:space="preserve">  Sachant que la puissance est le produit de la tension </w:t>
      </w:r>
      <w:r w:rsidRPr="00AB65CB">
        <w:rPr>
          <w:i/>
          <w:iCs/>
        </w:rPr>
        <w:t>U</w:t>
      </w:r>
      <w:r>
        <w:t xml:space="preserve"> et de l’intensité </w:t>
      </w:r>
      <w:r w:rsidRPr="00AB65CB">
        <w:rPr>
          <w:i/>
          <w:iCs/>
        </w:rPr>
        <w:t>I</w:t>
      </w:r>
      <w:r>
        <w:t xml:space="preserve">, indiquer deux paramètres (autres que </w:t>
      </w:r>
      <w:r w:rsidRPr="00AB65CB">
        <w:rPr>
          <w:i/>
          <w:iCs/>
        </w:rPr>
        <w:t>U</w:t>
      </w:r>
      <w:r>
        <w:t xml:space="preserve"> ou</w:t>
      </w:r>
      <w:r w:rsidRPr="00AB65CB">
        <w:rPr>
          <w:i/>
          <w:iCs/>
        </w:rPr>
        <w:t xml:space="preserve"> I</w:t>
      </w:r>
      <w:r>
        <w:t>) influençant la puissance délivrée et préciser leur influence sur la puissance produite.</w:t>
      </w:r>
    </w:p>
    <w:p w:rsidR="00094904" w:rsidRDefault="00A62D94" w:rsidP="00AB65CB">
      <w:pPr>
        <w:spacing w:after="240"/>
        <w:jc w:val="both"/>
      </w:pPr>
      <w:r w:rsidRPr="00CC1BD0">
        <w:rPr>
          <w:b/>
        </w:rPr>
        <w:t>7-</w:t>
      </w:r>
      <w:r>
        <w:t>  Présenter de façon argumentée les avantages et les inconvénients de l’agrivoltaïsme dans la cadre</w:t>
      </w:r>
      <w:r>
        <w:t xml:space="preserve"> de la transition énergétique.</w:t>
      </w:r>
      <w:r>
        <w:br w:type="page"/>
      </w:r>
    </w:p>
    <w:p w:rsidR="00B772F4" w:rsidRPr="00A77456" w:rsidRDefault="00A62D94" w:rsidP="00B772F4">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B772F4" w:rsidRPr="00A77456" w:rsidRDefault="00A62D94" w:rsidP="00B772F4">
      <w:pPr>
        <w:spacing w:after="240"/>
        <w:jc w:val="center"/>
        <w:rPr>
          <w:rFonts w:eastAsia="Arial" w:cs="Arial"/>
          <w:i/>
        </w:rPr>
      </w:pPr>
      <w:r w:rsidRPr="00A77456">
        <w:rPr>
          <w:rFonts w:eastAsia="Arial" w:cs="Arial"/>
          <w:i/>
        </w:rPr>
        <w:t>Thème « </w:t>
      </w:r>
      <w:r>
        <w:rPr>
          <w:rFonts w:eastAsia="Arial" w:cs="Arial"/>
          <w:i/>
        </w:rPr>
        <w:t>Le Soleil, notre source d’énergie »</w:t>
      </w:r>
    </w:p>
    <w:p w:rsidR="00B772F4" w:rsidRPr="00D87AD1" w:rsidRDefault="00A62D94" w:rsidP="00B772F4">
      <w:pPr>
        <w:spacing w:after="120"/>
        <w:rPr>
          <w:b/>
          <w:sz w:val="22"/>
        </w:rPr>
      </w:pPr>
      <w:r w:rsidRPr="00D87AD1">
        <w:rPr>
          <w:b/>
          <w:sz w:val="28"/>
        </w:rPr>
        <w:t>Le</w:t>
      </w:r>
      <w:r>
        <w:rPr>
          <w:b/>
          <w:sz w:val="28"/>
        </w:rPr>
        <w:t xml:space="preserve"> Soleil, source de vie sur Terre ?</w:t>
      </w:r>
    </w:p>
    <w:p w:rsidR="00B772F4" w:rsidRPr="00D74F67" w:rsidRDefault="00A62D94" w:rsidP="00B772F4">
      <w:pPr>
        <w:spacing w:after="360"/>
        <w:rPr>
          <w:i/>
        </w:rPr>
      </w:pPr>
      <w:r w:rsidRPr="00D74F67">
        <w:rPr>
          <w:i/>
        </w:rPr>
        <w:t>Sur 10 points</w:t>
      </w:r>
    </w:p>
    <w:p w:rsidR="00AD1EE8" w:rsidRPr="00583EA9" w:rsidRDefault="00A62D94" w:rsidP="00B772F4">
      <w:pPr>
        <w:spacing w:after="360" w:line="276" w:lineRule="auto"/>
        <w:jc w:val="both"/>
        <w:rPr>
          <w:rFonts w:cs="Arial"/>
        </w:rPr>
      </w:pPr>
      <w:r w:rsidRPr="00583EA9">
        <w:rPr>
          <w:rFonts w:cs="Arial"/>
        </w:rPr>
        <w:t>Le Soleil émet un rayonnement électromagnétique dans toutes les directions ; une partie d</w:t>
      </w:r>
      <w:r w:rsidRPr="00583EA9">
        <w:rPr>
          <w:rFonts w:cs="Arial"/>
        </w:rPr>
        <w:t>e ce rayonnement est reçue par la Terre et constitue une source d’énergie essentielle à la vie. De même, l’atmosphère terrestre contribue à créer des conditions propices à la vie sur Terre.</w:t>
      </w:r>
      <w:r>
        <w:rPr>
          <w:rFonts w:cs="Arial"/>
        </w:rPr>
        <w:t xml:space="preserve"> </w:t>
      </w:r>
    </w:p>
    <w:p w:rsidR="00AD1EE8" w:rsidRPr="00583EA9" w:rsidRDefault="00A62D94" w:rsidP="00B772F4">
      <w:pPr>
        <w:spacing w:after="360"/>
        <w:rPr>
          <w:rFonts w:cs="Arial"/>
          <w:u w:val="single"/>
        </w:rPr>
      </w:pPr>
      <w:r w:rsidRPr="00583EA9">
        <w:rPr>
          <w:rFonts w:cs="Arial"/>
          <w:u w:val="single"/>
        </w:rPr>
        <w:t>Partie 1. Le rayonnement solaire</w:t>
      </w:r>
    </w:p>
    <w:tbl>
      <w:tblPr>
        <w:tblStyle w:val="Grilledutableau"/>
        <w:tblW w:w="0" w:type="auto"/>
        <w:tblBorders>
          <w:insideH w:val="none" w:sz="0" w:space="0" w:color="auto"/>
          <w:insideV w:val="none" w:sz="0" w:space="0" w:color="auto"/>
        </w:tblBorders>
        <w:tblLook w:val="04A0" w:firstRow="1" w:lastRow="0" w:firstColumn="1" w:lastColumn="0" w:noHBand="0" w:noVBand="1"/>
      </w:tblPr>
      <w:tblGrid>
        <w:gridCol w:w="9060"/>
      </w:tblGrid>
      <w:tr w:rsidR="00B772F4" w:rsidRPr="00583EA9" w:rsidTr="00B772F4">
        <w:tc>
          <w:tcPr>
            <w:tcW w:w="9060" w:type="dxa"/>
          </w:tcPr>
          <w:p w:rsidR="00B772F4" w:rsidRPr="00583EA9" w:rsidRDefault="00A62D94" w:rsidP="00B772F4">
            <w:pPr>
              <w:spacing w:before="120" w:after="0"/>
              <w:rPr>
                <w:rFonts w:cs="Arial"/>
                <w:u w:val="single"/>
              </w:rPr>
            </w:pPr>
            <w:r w:rsidRPr="00583EA9">
              <w:rPr>
                <w:rFonts w:cs="Arial"/>
                <w:u w:val="single"/>
              </w:rPr>
              <w:t xml:space="preserve">Document 1 : spectre du </w:t>
            </w:r>
            <w:r w:rsidRPr="00583EA9">
              <w:rPr>
                <w:rFonts w:cs="Arial"/>
                <w:u w:val="single"/>
              </w:rPr>
              <w:t>rayonnement émis par le Soleil en fonction de la longueur d’onde</w:t>
            </w:r>
          </w:p>
          <w:p w:rsidR="00B772F4" w:rsidRPr="00583EA9" w:rsidRDefault="00A62D94" w:rsidP="009265CE">
            <w:r w:rsidRPr="00583EA9">
              <w:rPr>
                <w:noProof/>
              </w:rPr>
              <w:object w:dxaOrig="768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39.7pt;height:273.9pt;mso-width-percent:0;mso-height-percent:0;mso-width-percent:0;mso-height-percent:0" o:ole="">
                  <v:imagedata r:id="rId18" o:title="" cropbottom="8481f" cropright="13888f" grayscale="t"/>
                </v:shape>
                <o:OLEObject Type="Embed" ProgID="PBrush" ShapeID="_x0000_i1025" DrawAspect="Content" ObjectID="_1741547077" r:id="rId19"/>
              </w:object>
            </w:r>
          </w:p>
          <w:p w:rsidR="00B772F4" w:rsidRPr="00583EA9" w:rsidRDefault="00A62D94" w:rsidP="009265CE">
            <w:pPr>
              <w:jc w:val="right"/>
              <w:rPr>
                <w:rFonts w:cs="Arial"/>
              </w:rPr>
            </w:pPr>
            <w:r w:rsidRPr="00583EA9">
              <w:rPr>
                <w:sz w:val="20"/>
              </w:rPr>
              <w:t xml:space="preserve">D’après    </w:t>
            </w:r>
            <w:hyperlink r:id="rId20" w:history="1">
              <w:r w:rsidRPr="00583EA9">
                <w:rPr>
                  <w:rStyle w:val="Lienhypertexte"/>
                  <w:rFonts w:cs="Arial"/>
                  <w:sz w:val="20"/>
                </w:rPr>
                <w:t>https://www.ilephysique.net/img/forum_img/0258/forum_258713_1.jpg</w:t>
              </w:r>
            </w:hyperlink>
          </w:p>
        </w:tc>
      </w:tr>
    </w:tbl>
    <w:p w:rsidR="00B772F4" w:rsidRPr="00583EA9" w:rsidRDefault="00A62D94" w:rsidP="00B772F4">
      <w:pPr>
        <w:rPr>
          <w:rFonts w:cs="Arial"/>
          <w:b/>
        </w:rPr>
      </w:pPr>
    </w:p>
    <w:p w:rsidR="00B772F4" w:rsidRDefault="00A62D94">
      <w:pPr>
        <w:spacing w:after="0" w:line="240" w:lineRule="auto"/>
        <w:rPr>
          <w:rFonts w:cs="Arial"/>
        </w:rPr>
      </w:pPr>
      <w:r>
        <w:rPr>
          <w:rFonts w:cs="Arial"/>
        </w:rPr>
        <w:br w:type="page"/>
      </w:r>
    </w:p>
    <w:p w:rsidR="00AD1EE8" w:rsidRPr="00583EA9" w:rsidRDefault="00A62D94" w:rsidP="00B772F4">
      <w:pPr>
        <w:spacing w:after="120" w:line="276" w:lineRule="auto"/>
        <w:jc w:val="both"/>
        <w:rPr>
          <w:rFonts w:cs="Arial"/>
        </w:rPr>
      </w:pPr>
      <w:r w:rsidRPr="00583EA9">
        <w:rPr>
          <w:rFonts w:cs="Arial"/>
        </w:rPr>
        <w:lastRenderedPageBreak/>
        <w:t xml:space="preserve">La </w:t>
      </w:r>
      <w:r w:rsidRPr="00583EA9">
        <w:rPr>
          <w:rFonts w:cs="Arial"/>
        </w:rPr>
        <w:t>relation entre la température en degré</w:t>
      </w:r>
      <w:r>
        <w:rPr>
          <w:rFonts w:cs="Arial"/>
        </w:rPr>
        <w:t>s</w:t>
      </w:r>
      <w:r w:rsidRPr="00583EA9">
        <w:rPr>
          <w:rFonts w:cs="Arial"/>
        </w:rPr>
        <w:t xml:space="preserve"> Celsius θ (°C) </w:t>
      </w:r>
      <w:r>
        <w:rPr>
          <w:rFonts w:cs="Arial"/>
        </w:rPr>
        <w:t>et la température absolue T en k</w:t>
      </w:r>
      <w:r w:rsidRPr="00583EA9">
        <w:rPr>
          <w:rFonts w:cs="Arial"/>
        </w:rPr>
        <w:t>elv</w:t>
      </w:r>
      <w:r>
        <w:rPr>
          <w:rFonts w:cs="Arial"/>
        </w:rPr>
        <w:t>ins (K) est : T(K) = 273 + θ(°C).</w:t>
      </w:r>
    </w:p>
    <w:p w:rsidR="00AD1EE8" w:rsidRPr="00583EA9" w:rsidRDefault="00A62D94" w:rsidP="00B772F4">
      <w:pPr>
        <w:spacing w:after="120" w:line="276" w:lineRule="auto"/>
        <w:jc w:val="both"/>
        <w:rPr>
          <w:rFonts w:cs="Arial"/>
        </w:rPr>
      </w:pPr>
      <w:r w:rsidRPr="00583EA9">
        <w:rPr>
          <w:rFonts w:cs="Arial"/>
        </w:rPr>
        <w:t xml:space="preserve">Le Soleil </w:t>
      </w:r>
      <w:r>
        <w:rPr>
          <w:rFonts w:cs="Arial"/>
        </w:rPr>
        <w:t>peut être modélisé par</w:t>
      </w:r>
      <w:r w:rsidRPr="00583EA9">
        <w:rPr>
          <w:rFonts w:cs="Arial"/>
        </w:rPr>
        <w:t xml:space="preserve"> un corps n</w:t>
      </w:r>
      <w:r>
        <w:rPr>
          <w:rFonts w:cs="Arial"/>
        </w:rPr>
        <w:t>oir, qui émet un rayonnement</w:t>
      </w:r>
      <w:r w:rsidRPr="00583EA9">
        <w:rPr>
          <w:rFonts w:cs="Arial"/>
        </w:rPr>
        <w:t xml:space="preserve"> thermique correspondant à une température d’environ 5800 K.</w:t>
      </w:r>
    </w:p>
    <w:p w:rsidR="00AD1EE8" w:rsidRPr="00583EA9" w:rsidRDefault="00A62D94" w:rsidP="00B772F4">
      <w:pPr>
        <w:spacing w:line="276" w:lineRule="auto"/>
        <w:jc w:val="both"/>
        <w:rPr>
          <w:rFonts w:cs="Arial"/>
        </w:rPr>
      </w:pPr>
      <w:r w:rsidRPr="00583EA9">
        <w:rPr>
          <w:rFonts w:cs="Arial"/>
        </w:rPr>
        <w:t xml:space="preserve">La loi de Wien est la relation entre la température de surface </w:t>
      </w:r>
      <w:r w:rsidRPr="00583EA9">
        <w:rPr>
          <w:rFonts w:cs="Arial"/>
          <w:i/>
        </w:rPr>
        <w:t>T</w:t>
      </w:r>
      <w:r w:rsidRPr="00583EA9">
        <w:rPr>
          <w:rFonts w:cs="Arial"/>
        </w:rPr>
        <w:t xml:space="preserve"> d’un corps et la longueur d’onde </w:t>
      </w:r>
      <w:r w:rsidRPr="00583EA9">
        <w:rPr>
          <w:rFonts w:cs="Arial"/>
          <w:i/>
        </w:rPr>
        <w:t>λ</w:t>
      </w:r>
      <w:r w:rsidRPr="00583EA9">
        <w:rPr>
          <w:rFonts w:cs="Arial"/>
          <w:i/>
          <w:vertAlign w:val="subscript"/>
        </w:rPr>
        <w:t>max</w:t>
      </w:r>
      <w:r w:rsidRPr="00583EA9">
        <w:rPr>
          <w:rFonts w:cs="Arial"/>
          <w:i/>
        </w:rPr>
        <w:t xml:space="preserve"> </w:t>
      </w:r>
      <w:r w:rsidRPr="00583EA9">
        <w:rPr>
          <w:rFonts w:cs="Arial"/>
        </w:rPr>
        <w:t xml:space="preserve">au maximum d’émission :   </w:t>
      </w:r>
    </w:p>
    <w:p w:rsidR="00AD1EE8" w:rsidRPr="00583EA9" w:rsidRDefault="00A62D94" w:rsidP="00B772F4">
      <w:pPr>
        <w:spacing w:after="360" w:line="276" w:lineRule="auto"/>
        <w:rPr>
          <w:rFonts w:cs="Arial"/>
        </w:rPr>
      </w:pPr>
      <w:r w:rsidRPr="00583EA9">
        <w:rPr>
          <w:rFonts w:cs="Arial"/>
        </w:rPr>
        <w:t xml:space="preserve">             λ</w:t>
      </w:r>
      <w:r w:rsidRPr="00583EA9">
        <w:rPr>
          <w:rFonts w:cs="Arial"/>
          <w:vertAlign w:val="subscript"/>
        </w:rPr>
        <w:t>max</w:t>
      </w:r>
      <w:r w:rsidRPr="00583EA9">
        <w:rPr>
          <w:rFonts w:cs="Arial"/>
        </w:rPr>
        <w:t xml:space="preserve"> </w:t>
      </w:r>
      <m:oMath>
        <m:r>
          <m:rPr>
            <m:sty m:val="p"/>
          </m:rPr>
          <w:rPr>
            <w:rFonts w:ascii="Cambria Math" w:hAnsi="Cambria Math" w:cs="Arial"/>
          </w:rPr>
          <m:t>×</m:t>
        </m:r>
      </m:oMath>
      <w:r w:rsidRPr="00583EA9">
        <w:rPr>
          <w:rFonts w:cs="Arial"/>
        </w:rPr>
        <w:t xml:space="preserve"> </w:t>
      </w:r>
      <w:r w:rsidRPr="00583EA9">
        <w:rPr>
          <w:rFonts w:cs="Arial"/>
          <w:i/>
          <w:iCs/>
        </w:rPr>
        <w:t xml:space="preserve">T </w:t>
      </w:r>
      <w:r w:rsidRPr="00583EA9">
        <w:rPr>
          <w:rFonts w:cs="Arial"/>
        </w:rPr>
        <w:t>= 2,90</w:t>
      </w:r>
      <m:oMath>
        <m:r>
          <m:rPr>
            <m:sty m:val="p"/>
          </m:rPr>
          <w:rPr>
            <w:rFonts w:ascii="Cambria Math" w:hAnsi="Cambria Math" w:cs="Arial"/>
          </w:rPr>
          <m:t xml:space="preserve"> ×</m:t>
        </m:r>
      </m:oMath>
      <w:r w:rsidRPr="00583EA9">
        <w:rPr>
          <w:rFonts w:cs="Arial"/>
        </w:rPr>
        <w:t>10</w:t>
      </w:r>
      <w:r w:rsidRPr="00583EA9">
        <w:rPr>
          <w:rFonts w:cs="Arial"/>
          <w:vertAlign w:val="superscript"/>
        </w:rPr>
        <w:t>-3</w:t>
      </w:r>
      <w:r w:rsidRPr="00583EA9">
        <w:rPr>
          <w:rFonts w:cs="Arial"/>
        </w:rPr>
        <w:t xml:space="preserve">  m.K     avec </w:t>
      </w:r>
      <w:r w:rsidRPr="00583EA9">
        <w:rPr>
          <w:rFonts w:cs="Arial"/>
          <w:i/>
          <w:iCs/>
        </w:rPr>
        <w:t>T</w:t>
      </w:r>
      <w:r>
        <w:rPr>
          <w:rFonts w:cs="Arial"/>
        </w:rPr>
        <w:t xml:space="preserve"> en k</w:t>
      </w:r>
      <w:r w:rsidRPr="00583EA9">
        <w:rPr>
          <w:rFonts w:cs="Arial"/>
        </w:rPr>
        <w:t>elvin</w:t>
      </w:r>
      <w:r>
        <w:rPr>
          <w:rFonts w:cs="Arial"/>
        </w:rPr>
        <w:t>s</w:t>
      </w:r>
      <w:r w:rsidRPr="00583EA9">
        <w:rPr>
          <w:rFonts w:cs="Arial"/>
        </w:rPr>
        <w:t xml:space="preserve"> et λ</w:t>
      </w:r>
      <w:r w:rsidRPr="00583EA9">
        <w:rPr>
          <w:rFonts w:cs="Arial"/>
          <w:vertAlign w:val="subscript"/>
        </w:rPr>
        <w:t xml:space="preserve">max </w:t>
      </w:r>
      <w:r w:rsidRPr="00583EA9">
        <w:rPr>
          <w:rFonts w:cs="Arial"/>
        </w:rPr>
        <w:t>en m</w:t>
      </w:r>
      <w:r>
        <w:rPr>
          <w:rFonts w:cs="Arial"/>
        </w:rPr>
        <w:t>ètres.</w:t>
      </w:r>
    </w:p>
    <w:p w:rsidR="00B84197" w:rsidRPr="00583EA9" w:rsidRDefault="00A62D94" w:rsidP="00B772F4">
      <w:pPr>
        <w:spacing w:after="240" w:line="240" w:lineRule="auto"/>
        <w:jc w:val="both"/>
        <w:rPr>
          <w:rFonts w:cs="Arial"/>
        </w:rPr>
      </w:pPr>
      <w:r w:rsidRPr="00583EA9">
        <w:rPr>
          <w:rFonts w:cs="Arial"/>
          <w:b/>
        </w:rPr>
        <w:t xml:space="preserve">1- </w:t>
      </w:r>
      <w:r w:rsidRPr="00583EA9">
        <w:rPr>
          <w:rFonts w:cs="Arial"/>
        </w:rPr>
        <w:t>Déterminer</w:t>
      </w:r>
      <w:r>
        <w:rPr>
          <w:rFonts w:cs="Arial"/>
        </w:rPr>
        <w:t xml:space="preserve"> approximativement</w:t>
      </w:r>
      <w:r w:rsidRPr="00583EA9">
        <w:rPr>
          <w:rFonts w:cs="Arial"/>
        </w:rPr>
        <w:t xml:space="preserve">, à partir du </w:t>
      </w:r>
      <w:r w:rsidRPr="00583EA9">
        <w:rPr>
          <w:rFonts w:cs="Arial"/>
        </w:rPr>
        <w:t>document 1, la valeur de la longueur d’onde correspondant au maximum d’intensité du rayonnement solaire hors atmosphère ?</w:t>
      </w:r>
    </w:p>
    <w:p w:rsidR="00AD1EE8" w:rsidRPr="00583EA9" w:rsidRDefault="00A62D94" w:rsidP="00B772F4">
      <w:pPr>
        <w:spacing w:after="360" w:line="240" w:lineRule="auto"/>
        <w:jc w:val="both"/>
        <w:rPr>
          <w:rFonts w:cs="Arial"/>
        </w:rPr>
      </w:pPr>
      <w:r w:rsidRPr="00583EA9">
        <w:rPr>
          <w:rFonts w:cs="Arial"/>
          <w:b/>
        </w:rPr>
        <w:t xml:space="preserve">2- </w:t>
      </w:r>
      <w:r w:rsidRPr="00583EA9">
        <w:rPr>
          <w:rFonts w:cs="Arial"/>
        </w:rPr>
        <w:t xml:space="preserve">Justifier par un calcul que </w:t>
      </w:r>
      <w:r>
        <w:rPr>
          <w:rFonts w:cs="Arial"/>
        </w:rPr>
        <w:t>dans l’hypothèse où le soleil est modélisé par un corps noir, sa</w:t>
      </w:r>
      <w:r w:rsidRPr="00583EA9">
        <w:rPr>
          <w:rFonts w:cs="Arial"/>
        </w:rPr>
        <w:t xml:space="preserve"> température de surface est voisine de </w:t>
      </w:r>
      <w:r w:rsidRPr="00583EA9">
        <w:rPr>
          <w:rFonts w:cs="Arial"/>
        </w:rPr>
        <w:t>5800 K.</w:t>
      </w:r>
    </w:p>
    <w:tbl>
      <w:tblPr>
        <w:tblStyle w:val="Grilledutableau"/>
        <w:tblW w:w="0" w:type="auto"/>
        <w:tblBorders>
          <w:insideH w:val="none" w:sz="0" w:space="0" w:color="auto"/>
          <w:insideV w:val="none" w:sz="0" w:space="0" w:color="auto"/>
        </w:tblBorders>
        <w:tblLook w:val="04A0" w:firstRow="1" w:lastRow="0" w:firstColumn="1" w:lastColumn="0" w:noHBand="0" w:noVBand="1"/>
      </w:tblPr>
      <w:tblGrid>
        <w:gridCol w:w="9060"/>
      </w:tblGrid>
      <w:tr w:rsidR="00AD1EE8" w:rsidRPr="00583EA9" w:rsidTr="00D9000B">
        <w:trPr>
          <w:trHeight w:val="70"/>
        </w:trPr>
        <w:tc>
          <w:tcPr>
            <w:tcW w:w="9060" w:type="dxa"/>
            <w:tcBorders>
              <w:top w:val="single" w:sz="4" w:space="0" w:color="auto"/>
              <w:bottom w:val="nil"/>
            </w:tcBorders>
          </w:tcPr>
          <w:p w:rsidR="00AD1EE8" w:rsidRPr="00583EA9" w:rsidRDefault="00A62D94" w:rsidP="00B772F4">
            <w:pPr>
              <w:spacing w:before="120" w:after="0" w:line="276" w:lineRule="auto"/>
              <w:rPr>
                <w:rFonts w:cs="Arial"/>
                <w:u w:val="single"/>
              </w:rPr>
            </w:pPr>
            <w:r w:rsidRPr="00583EA9">
              <w:rPr>
                <w:rFonts w:cs="Arial"/>
                <w:u w:val="single"/>
              </w:rPr>
              <w:t>Document 2 : schéma du bilan énergétique terrestre</w:t>
            </w:r>
          </w:p>
          <w:p w:rsidR="00AD1EE8" w:rsidRPr="00583EA9" w:rsidRDefault="00A62D94" w:rsidP="00B772F4">
            <w:pPr>
              <w:spacing w:before="240" w:line="276" w:lineRule="auto"/>
              <w:rPr>
                <w:rFonts w:cs="Arial"/>
                <w:b/>
              </w:rPr>
            </w:pPr>
            <w:r>
              <w:rPr>
                <w:rFonts w:cs="Arial"/>
                <w:noProof/>
              </w:rPr>
              <w:drawing>
                <wp:inline distT="0" distB="0" distL="0" distR="0" wp14:anchorId="7D881342" wp14:editId="6857D6F1">
                  <wp:extent cx="5533390" cy="3705225"/>
                  <wp:effectExtent l="0" t="0" r="0" b="9525"/>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rotWithShape="1">
                          <a:blip r:embed="rId21">
                            <a:extLst>
                              <a:ext uri="{28A0092B-C50C-407E-A947-70E740481C1C}">
                                <a14:useLocalDpi xmlns:a14="http://schemas.microsoft.com/office/drawing/2010/main" val="0"/>
                              </a:ext>
                            </a:extLst>
                          </a:blip>
                          <a:srcRect b="10706"/>
                          <a:stretch/>
                        </pic:blipFill>
                        <pic:spPr bwMode="auto">
                          <a:xfrm>
                            <a:off x="0" y="0"/>
                            <a:ext cx="5571512" cy="373075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772F4" w:rsidRPr="00583EA9" w:rsidTr="00D9000B">
        <w:trPr>
          <w:trHeight w:val="1712"/>
        </w:trPr>
        <w:tc>
          <w:tcPr>
            <w:tcW w:w="9060" w:type="dxa"/>
            <w:tcBorders>
              <w:top w:val="nil"/>
            </w:tcBorders>
          </w:tcPr>
          <w:p w:rsidR="00B772F4" w:rsidRPr="00583EA9" w:rsidRDefault="00A62D94" w:rsidP="00B772F4">
            <w:pPr>
              <w:spacing w:before="120" w:after="120" w:line="276" w:lineRule="auto"/>
              <w:jc w:val="both"/>
              <w:rPr>
                <w:rFonts w:cs="Arial"/>
              </w:rPr>
            </w:pPr>
            <w:r w:rsidRPr="00583EA9">
              <w:rPr>
                <w:rFonts w:cs="Arial"/>
              </w:rPr>
              <w:lastRenderedPageBreak/>
              <w:t xml:space="preserve">Le schéma </w:t>
            </w:r>
            <w:r>
              <w:rPr>
                <w:rFonts w:cs="Arial"/>
              </w:rPr>
              <w:t>précédent</w:t>
            </w:r>
            <w:r w:rsidRPr="00583EA9">
              <w:rPr>
                <w:rFonts w:cs="Arial"/>
              </w:rPr>
              <w:t xml:space="preserve"> présente les flux énergétiques émis, diffusés et réfléchis par les différentes parties de l’atmosphère. L’a</w:t>
            </w:r>
            <w:r>
              <w:rPr>
                <w:rFonts w:cs="Arial"/>
              </w:rPr>
              <w:t>lbédo terrestre moyen est de 30 </w:t>
            </w:r>
            <w:r w:rsidRPr="00583EA9">
              <w:rPr>
                <w:rFonts w:cs="Arial"/>
              </w:rPr>
              <w:t xml:space="preserve">%. </w:t>
            </w:r>
          </w:p>
          <w:p w:rsidR="00B772F4" w:rsidRPr="00583EA9" w:rsidRDefault="00A62D94" w:rsidP="00B772F4">
            <w:pPr>
              <w:spacing w:after="120" w:line="276" w:lineRule="auto"/>
              <w:jc w:val="both"/>
              <w:rPr>
                <w:rFonts w:cs="Arial"/>
              </w:rPr>
            </w:pPr>
            <w:r w:rsidRPr="00583EA9">
              <w:rPr>
                <w:rFonts w:cs="Arial"/>
              </w:rPr>
              <w:t xml:space="preserve">Les flèches pleines </w:t>
            </w:r>
            <w:r w:rsidRPr="00583EA9">
              <w:rPr>
                <w:rFonts w:cs="Arial"/>
              </w:rPr>
              <w:t>correspondent à des transferts radiatifs. Les flèches hachurées correspondent à des transferts mixtes- radiatifs et non radiatifs.</w:t>
            </w:r>
          </w:p>
          <w:p w:rsidR="00B772F4" w:rsidRDefault="00A62D94" w:rsidP="00B772F4">
            <w:pPr>
              <w:spacing w:after="0" w:line="276" w:lineRule="auto"/>
              <w:jc w:val="both"/>
              <w:rPr>
                <w:rFonts w:cs="Arial"/>
              </w:rPr>
            </w:pPr>
            <w:r w:rsidRPr="00583EA9">
              <w:rPr>
                <w:rFonts w:cs="Arial"/>
              </w:rPr>
              <w:t>Sont précisés : les puissances par unité de surface associées à chaque transfert et le pourcentage qu’elles représentent rela</w:t>
            </w:r>
            <w:r w:rsidRPr="00583EA9">
              <w:rPr>
                <w:rFonts w:cs="Arial"/>
              </w:rPr>
              <w:t>tivement à l</w:t>
            </w:r>
            <w:r>
              <w:rPr>
                <w:rFonts w:cs="Arial"/>
              </w:rPr>
              <w:t>a puissance solaire incidente (</w:t>
            </w:r>
            <w:r w:rsidRPr="00583EA9">
              <w:rPr>
                <w:rFonts w:cs="Arial"/>
              </w:rPr>
              <w:t>342 W∙m</w:t>
            </w:r>
            <w:r w:rsidRPr="00583EA9">
              <w:rPr>
                <w:rFonts w:cs="Arial"/>
                <w:vertAlign w:val="superscript"/>
              </w:rPr>
              <w:t>-2</w:t>
            </w:r>
            <w:r w:rsidRPr="00583EA9">
              <w:rPr>
                <w:rFonts w:cs="Arial"/>
              </w:rPr>
              <w:t>)</w:t>
            </w:r>
            <w:r>
              <w:rPr>
                <w:rFonts w:cs="Arial"/>
              </w:rPr>
              <w:t>.</w:t>
            </w:r>
          </w:p>
          <w:p w:rsidR="00B772F4" w:rsidRPr="00583EA9" w:rsidRDefault="00A62D94" w:rsidP="00B772F4">
            <w:pPr>
              <w:spacing w:after="120" w:line="276" w:lineRule="auto"/>
              <w:jc w:val="right"/>
              <w:rPr>
                <w:rFonts w:cs="Arial"/>
                <w:u w:val="single"/>
              </w:rPr>
            </w:pPr>
            <w:r w:rsidRPr="00B772F4">
              <w:rPr>
                <w:rFonts w:cs="Arial"/>
                <w:sz w:val="20"/>
              </w:rPr>
              <w:t>Document créé par l’auteur</w:t>
            </w:r>
          </w:p>
        </w:tc>
      </w:tr>
    </w:tbl>
    <w:p w:rsidR="00CD703D" w:rsidRDefault="00A62D94" w:rsidP="00AD1EE8">
      <w:pPr>
        <w:spacing w:after="0" w:line="276" w:lineRule="auto"/>
        <w:jc w:val="both"/>
        <w:rPr>
          <w:rFonts w:cs="Arial"/>
          <w:b/>
        </w:rPr>
      </w:pPr>
    </w:p>
    <w:p w:rsidR="00AD1EE8" w:rsidRPr="00583EA9" w:rsidRDefault="00A62D94" w:rsidP="00993D80">
      <w:pPr>
        <w:spacing w:before="360" w:after="0" w:line="276" w:lineRule="auto"/>
        <w:jc w:val="both"/>
        <w:rPr>
          <w:rFonts w:cs="Arial"/>
        </w:rPr>
      </w:pPr>
      <w:r w:rsidRPr="00583EA9">
        <w:rPr>
          <w:rFonts w:cs="Arial"/>
          <w:b/>
        </w:rPr>
        <w:t>3-</w:t>
      </w:r>
      <w:r w:rsidRPr="00583EA9">
        <w:rPr>
          <w:rFonts w:cs="Arial"/>
        </w:rPr>
        <w:t xml:space="preserve"> </w:t>
      </w:r>
      <w:r>
        <w:rPr>
          <w:rFonts w:cs="Arial"/>
        </w:rPr>
        <w:t>Définir l’albédo terrestre à l’aide de vos connaissances.</w:t>
      </w:r>
    </w:p>
    <w:p w:rsidR="00AD1EE8" w:rsidRPr="00583EA9" w:rsidRDefault="00A62D94" w:rsidP="00AD1EE8">
      <w:pPr>
        <w:spacing w:after="0" w:line="276" w:lineRule="auto"/>
        <w:jc w:val="both"/>
        <w:rPr>
          <w:rFonts w:cs="Arial"/>
          <w:color w:val="FF0000"/>
        </w:rPr>
      </w:pPr>
    </w:p>
    <w:p w:rsidR="00CD703D" w:rsidRPr="0072174F" w:rsidRDefault="00A62D94" w:rsidP="0072174F">
      <w:pPr>
        <w:spacing w:after="0" w:line="276" w:lineRule="auto"/>
        <w:jc w:val="both"/>
        <w:rPr>
          <w:rFonts w:cs="Arial"/>
        </w:rPr>
      </w:pPr>
      <w:r w:rsidRPr="00583EA9">
        <w:rPr>
          <w:rFonts w:cs="Arial"/>
          <w:b/>
        </w:rPr>
        <w:t>4-</w:t>
      </w:r>
      <w:r w:rsidRPr="00583EA9">
        <w:rPr>
          <w:rFonts w:cs="Arial"/>
        </w:rPr>
        <w:t xml:space="preserve"> À partir des valeurs indiquées dans le document 2, montrer que le bilan </w:t>
      </w:r>
      <w:r>
        <w:rPr>
          <w:rFonts w:cs="Arial"/>
        </w:rPr>
        <w:t xml:space="preserve">énergétique à la surface de la Terre </w:t>
      </w:r>
      <w:r w:rsidRPr="00583EA9">
        <w:rPr>
          <w:rFonts w:cs="Arial"/>
        </w:rPr>
        <w:t>est équilibré</w:t>
      </w:r>
      <w:r>
        <w:rPr>
          <w:rFonts w:cs="Arial"/>
        </w:rPr>
        <w:t>, autrement dit que la puissance que la T</w:t>
      </w:r>
      <w:r w:rsidRPr="00583EA9">
        <w:rPr>
          <w:rFonts w:cs="Arial"/>
        </w:rPr>
        <w:t xml:space="preserve">erre </w:t>
      </w:r>
      <w:r>
        <w:rPr>
          <w:rFonts w:cs="Arial"/>
        </w:rPr>
        <w:t>reçoit</w:t>
      </w:r>
      <w:r w:rsidRPr="00583EA9">
        <w:rPr>
          <w:rFonts w:cs="Arial"/>
        </w:rPr>
        <w:t xml:space="preserve"> est égale à celle</w:t>
      </w:r>
      <w:r>
        <w:rPr>
          <w:rFonts w:cs="Arial"/>
        </w:rPr>
        <w:t xml:space="preserve"> qu’elle fournit à l’extérieur</w:t>
      </w:r>
      <w:r w:rsidRPr="00583EA9">
        <w:rPr>
          <w:rFonts w:cs="Arial"/>
        </w:rPr>
        <w:t xml:space="preserve">. Montrer que cela est également le cas pour le système global Terre-atmosphère. </w:t>
      </w:r>
    </w:p>
    <w:p w:rsidR="00993D80" w:rsidRDefault="00A62D94">
      <w:pPr>
        <w:spacing w:after="0" w:line="240" w:lineRule="auto"/>
        <w:rPr>
          <w:rFonts w:cs="Arial"/>
          <w:b/>
          <w:u w:val="single"/>
        </w:rPr>
      </w:pPr>
      <w:r>
        <w:rPr>
          <w:rFonts w:cs="Arial"/>
          <w:b/>
          <w:u w:val="single"/>
        </w:rPr>
        <w:br w:type="page"/>
      </w:r>
    </w:p>
    <w:p w:rsidR="00AD1EE8" w:rsidRPr="00583EA9" w:rsidRDefault="00A62D94" w:rsidP="00993D80">
      <w:pPr>
        <w:spacing w:after="240"/>
        <w:rPr>
          <w:rFonts w:cs="Arial"/>
          <w:u w:val="single"/>
        </w:rPr>
      </w:pPr>
      <w:r w:rsidRPr="00583EA9">
        <w:rPr>
          <w:rFonts w:cs="Arial"/>
          <w:u w:val="single"/>
        </w:rPr>
        <w:lastRenderedPageBreak/>
        <w:t>Partie 2. La conversio</w:t>
      </w:r>
      <w:r w:rsidRPr="00583EA9">
        <w:rPr>
          <w:rFonts w:cs="Arial"/>
          <w:u w:val="single"/>
        </w:rPr>
        <w:t>n de l’énergie solaire</w:t>
      </w:r>
    </w:p>
    <w:tbl>
      <w:tblPr>
        <w:tblStyle w:val="Grilledutableau"/>
        <w:tblpPr w:leftFromText="141" w:rightFromText="141" w:vertAnchor="text" w:horzAnchor="margin" w:tblpY="203"/>
        <w:tblW w:w="0" w:type="auto"/>
        <w:tblBorders>
          <w:insideH w:val="none" w:sz="0" w:space="0" w:color="auto"/>
          <w:insideV w:val="none" w:sz="0" w:space="0" w:color="auto"/>
        </w:tblBorders>
        <w:tblLook w:val="04A0" w:firstRow="1" w:lastRow="0" w:firstColumn="1" w:lastColumn="0" w:noHBand="0" w:noVBand="1"/>
      </w:tblPr>
      <w:tblGrid>
        <w:gridCol w:w="9060"/>
      </w:tblGrid>
      <w:tr w:rsidR="00AD1EE8" w:rsidRPr="00583EA9" w:rsidTr="00583EA9">
        <w:tc>
          <w:tcPr>
            <w:tcW w:w="10762" w:type="dxa"/>
          </w:tcPr>
          <w:p w:rsidR="00AD1EE8" w:rsidRPr="00583EA9" w:rsidRDefault="00A62D94" w:rsidP="00993D80">
            <w:pPr>
              <w:spacing w:before="120" w:after="120"/>
              <w:rPr>
                <w:rFonts w:cs="Arial"/>
                <w:u w:val="single"/>
              </w:rPr>
            </w:pPr>
            <w:r w:rsidRPr="00583EA9">
              <w:rPr>
                <w:rFonts w:cs="Arial"/>
                <w:u w:val="single"/>
              </w:rPr>
              <w:t xml:space="preserve">Document </w:t>
            </w:r>
            <w:r>
              <w:rPr>
                <w:rFonts w:cs="Arial"/>
                <w:u w:val="single"/>
              </w:rPr>
              <w:t>3</w:t>
            </w:r>
            <w:r w:rsidRPr="00583EA9">
              <w:rPr>
                <w:rFonts w:cs="Arial"/>
                <w:u w:val="single"/>
              </w:rPr>
              <w:t> : spectre des chlorophylles</w:t>
            </w:r>
          </w:p>
          <w:p w:rsidR="00AD1EE8" w:rsidRPr="00583EA9" w:rsidRDefault="00A62D94" w:rsidP="00685871">
            <w:pPr>
              <w:jc w:val="both"/>
              <w:rPr>
                <w:rFonts w:cs="Arial"/>
              </w:rPr>
            </w:pPr>
            <w:r w:rsidRPr="00583EA9">
              <w:rPr>
                <w:rFonts w:cs="Arial"/>
              </w:rPr>
              <w:t>Les organismes chlorophylliens renferment de nombreux pigments photosynthétiques comme les chlorophylles a et b, et les caroténoïdes. En faisant traverser par de la lumière blanche (spectre 1)</w:t>
            </w:r>
            <w:r>
              <w:rPr>
                <w:rFonts w:cs="Arial"/>
              </w:rPr>
              <w:t>,</w:t>
            </w:r>
            <w:r w:rsidRPr="00583EA9">
              <w:rPr>
                <w:rFonts w:cs="Arial"/>
              </w:rPr>
              <w:t xml:space="preserve"> </w:t>
            </w:r>
            <w:r>
              <w:rPr>
                <w:rFonts w:cs="Arial"/>
              </w:rPr>
              <w:t>des</w:t>
            </w:r>
            <w:r w:rsidRPr="00583EA9">
              <w:rPr>
                <w:rFonts w:cs="Arial"/>
              </w:rPr>
              <w:t xml:space="preserve"> solution</w:t>
            </w:r>
            <w:r>
              <w:rPr>
                <w:rFonts w:cs="Arial"/>
              </w:rPr>
              <w:t>s</w:t>
            </w:r>
            <w:r w:rsidRPr="00583EA9">
              <w:rPr>
                <w:rFonts w:cs="Arial"/>
              </w:rPr>
              <w:t xml:space="preserve"> contenant </w:t>
            </w:r>
            <w:r>
              <w:rPr>
                <w:rFonts w:cs="Arial"/>
              </w:rPr>
              <w:t>chacune un seul de d</w:t>
            </w:r>
            <w:r w:rsidRPr="00583EA9">
              <w:rPr>
                <w:rFonts w:cs="Arial"/>
              </w:rPr>
              <w:t>e ces pigments</w:t>
            </w:r>
            <w:r>
              <w:rPr>
                <w:rFonts w:cs="Arial"/>
              </w:rPr>
              <w:t>,</w:t>
            </w:r>
            <w:r w:rsidRPr="00583EA9">
              <w:rPr>
                <w:rFonts w:cs="Arial"/>
              </w:rPr>
              <w:t xml:space="preserve"> on obtient les spectres </w:t>
            </w:r>
            <w:r>
              <w:rPr>
                <w:rFonts w:cs="Arial"/>
              </w:rPr>
              <w:t xml:space="preserve">suivants : </w:t>
            </w:r>
            <w:r w:rsidRPr="00583EA9">
              <w:rPr>
                <w:rFonts w:cs="Arial"/>
              </w:rPr>
              <w:t>chlorophylle a (spectre</w:t>
            </w:r>
            <w:r>
              <w:rPr>
                <w:rFonts w:cs="Arial"/>
              </w:rPr>
              <w:t> </w:t>
            </w:r>
            <w:r w:rsidRPr="00583EA9">
              <w:rPr>
                <w:rFonts w:cs="Arial"/>
              </w:rPr>
              <w:t xml:space="preserve">2), chlorophylle b (spectre 3) </w:t>
            </w:r>
            <w:r>
              <w:rPr>
                <w:rFonts w:cs="Arial"/>
              </w:rPr>
              <w:t xml:space="preserve">et </w:t>
            </w:r>
            <w:r w:rsidRPr="00583EA9">
              <w:rPr>
                <w:rFonts w:cs="Arial"/>
              </w:rPr>
              <w:t>caroténoïdes (spectre 4).</w:t>
            </w:r>
          </w:p>
          <w:p w:rsidR="00AD1EE8" w:rsidRPr="00583EA9" w:rsidRDefault="00A62D94" w:rsidP="00D84229">
            <w:pPr>
              <w:jc w:val="center"/>
            </w:pPr>
            <w:r w:rsidRPr="00583EA9">
              <w:rPr>
                <w:rFonts w:cs="Arial"/>
                <w:noProof/>
              </w:rPr>
              <w:drawing>
                <wp:inline distT="0" distB="0" distL="0" distR="0" wp14:anchorId="49A327C9" wp14:editId="37571DED">
                  <wp:extent cx="5105400" cy="3093720"/>
                  <wp:effectExtent l="0" t="0" r="0" b="0"/>
                  <wp:docPr id="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sujet28 230919 def doc4.jpg"/>
                          <pic:cNvPicPr/>
                        </pic:nvPicPr>
                        <pic:blipFill rotWithShape="1">
                          <a:blip r:embed="rId22">
                            <a:extLst>
                              <a:ext uri="{BEBA8EAE-BF5A-486C-A8C5-ECC9F3942E4B}">
                                <a14:imgProps xmlns:a14="http://schemas.microsoft.com/office/drawing/2010/main">
                                  <a14:imgLayer>
                                    <a14:imgEffect>
                                      <a14:brightnessContrast bright="40000" contrast="-40000"/>
                                    </a14:imgEffect>
                                  </a14:imgLayer>
                                </a14:imgProps>
                              </a:ext>
                              <a:ext uri="{28A0092B-C50C-407E-A947-70E740481C1C}">
                                <a14:useLocalDpi xmlns:a14="http://schemas.microsoft.com/office/drawing/2010/main" val="0"/>
                              </a:ext>
                            </a:extLst>
                          </a:blip>
                          <a:srcRect l="10022" t="8314" r="15367" b="11316"/>
                          <a:stretch/>
                        </pic:blipFill>
                        <pic:spPr bwMode="auto">
                          <a:xfrm>
                            <a:off x="0" y="0"/>
                            <a:ext cx="5105400" cy="3093720"/>
                          </a:xfrm>
                          <a:prstGeom prst="rect">
                            <a:avLst/>
                          </a:prstGeom>
                          <a:ln>
                            <a:noFill/>
                          </a:ln>
                          <a:extLst>
                            <a:ext uri="{53640926-AAD7-44D8-BBD7-CCE9431645EC}">
                              <a14:shadowObscured xmlns:a14="http://schemas.microsoft.com/office/drawing/2010/main"/>
                            </a:ext>
                          </a:extLst>
                        </pic:spPr>
                      </pic:pic>
                    </a:graphicData>
                  </a:graphic>
                </wp:inline>
              </w:drawing>
            </w:r>
          </w:p>
          <w:p w:rsidR="00AD1EE8" w:rsidRPr="00583EA9" w:rsidRDefault="00A62D94" w:rsidP="00D84229">
            <w:pPr>
              <w:spacing w:after="120"/>
              <w:jc w:val="right"/>
              <w:rPr>
                <w:rFonts w:cs="Arial"/>
              </w:rPr>
            </w:pPr>
            <w:r w:rsidRPr="00583EA9">
              <w:rPr>
                <w:sz w:val="20"/>
              </w:rPr>
              <w:t xml:space="preserve">D’après </w:t>
            </w:r>
            <w:hyperlink r:id="rId23" w:history="1">
              <w:r w:rsidRPr="00583EA9">
                <w:rPr>
                  <w:rStyle w:val="Lienhypertexte"/>
                  <w:rFonts w:cs="Arial"/>
                  <w:sz w:val="20"/>
                </w:rPr>
                <w:t>http://www.snv.jussieu.fr/bmedia/Photosynthese/exp233.html</w:t>
              </w:r>
            </w:hyperlink>
          </w:p>
        </w:tc>
      </w:tr>
    </w:tbl>
    <w:p w:rsidR="0072174F" w:rsidRDefault="00A62D94" w:rsidP="00AD1EE8">
      <w:pPr>
        <w:spacing w:after="0"/>
        <w:rPr>
          <w:rFonts w:cs="Arial"/>
        </w:rPr>
      </w:pPr>
    </w:p>
    <w:p w:rsidR="00AD1EE8" w:rsidRPr="00583EA9" w:rsidRDefault="00A62D94" w:rsidP="00436F1B">
      <w:pPr>
        <w:spacing w:before="240" w:after="240"/>
        <w:jc w:val="both"/>
        <w:rPr>
          <w:rFonts w:cs="Arial"/>
          <w:b/>
        </w:rPr>
      </w:pPr>
      <w:r w:rsidRPr="00583EA9">
        <w:rPr>
          <w:rFonts w:cs="Arial"/>
          <w:noProof/>
        </w:rPr>
        <mc:AlternateContent>
          <mc:Choice Requires="wps">
            <w:drawing>
              <wp:anchor distT="45720" distB="45720" distL="114300" distR="114300" simplePos="0" relativeHeight="251676672" behindDoc="0" locked="0" layoutInCell="1" allowOverlap="1" wp14:anchorId="3861C1E3" wp14:editId="1957FDB4">
                <wp:simplePos x="0" y="0"/>
                <wp:positionH relativeFrom="column">
                  <wp:align>left</wp:align>
                </wp:positionH>
                <wp:positionV relativeFrom="paragraph">
                  <wp:posOffset>16959580</wp:posOffset>
                </wp:positionV>
                <wp:extent cx="2360930" cy="1404620"/>
                <wp:effectExtent l="0" t="0" r="22860" b="15240"/>
                <wp:wrapNone/>
                <wp:docPr id="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sdt>
                            <w:sdtPr>
                              <w:id w:val="-890581285"/>
                              <w:temporary/>
                              <w:showingPlcHdr/>
                              <w15:appearance w15:val="hidden"/>
                            </w:sdtPr>
                            <w:sdtEndPr/>
                            <w:sdtContent>
                              <w:p w:rsidR="00AD1EE8" w:rsidRDefault="00A62D94" w:rsidP="00AD1EE8">
                                <w:r>
                                  <w:t>[Attirez l’attention du lecteur avec une citation du document ou utilisez cet espace pour mettre en valeur un point clé</w:t>
                                </w:r>
                                <w:r>
                                  <w:t>. Pour placer cette zone de texte n’importe où sur la page, faites-la simplement glisser.]</w:t>
                                </w:r>
                              </w:p>
                            </w:sdtContent>
                          </w:sdt>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861C1E3" id="_x0000_t202" coordsize="21600,21600" o:spt="202" path="m,l,21600r21600,l21600,xe">
                <v:stroke joinstyle="miter"/>
                <v:path gradientshapeok="t" o:connecttype="rect"/>
              </v:shapetype>
              <v:shape id="Zone de texte 2" o:spid="_x0000_s1026" type="#_x0000_t202" style="position:absolute;margin-left:0;margin-top:1335.4pt;width:185.9pt;height:110.6pt;z-index:251676672;visibility:visible;mso-wrap-style:square;mso-width-percent:400;mso-height-percent:200;mso-wrap-distance-left:9pt;mso-wrap-distance-top:3.6pt;mso-wrap-distance-right:9pt;mso-wrap-distance-bottom:3.6pt;mso-position-horizontal:left;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">
                <v:textbox style="mso-fit-shape-to-text:t">
                  <w:txbxContent>
                    <w:sdt>
                      <w:sdtPr>
                        <w:id w:val="-890581285"/>
                        <w:temporary/>
                        <w:showingPlcHdr/>
                        <w15:appearance w15:val="hidden"/>
                      </w:sdtPr>
                      <w:sdtEndPr/>
                      <w:sdtContent>
                        <w:p w14:paraId="11280C14" w14:textId="77777777" w:rsidR="00AD1EE8" w:rsidRDefault="00AD1EE8" w:rsidP="00AD1EE8">
                          <w:r>
                            <w:t>[Attirez l’attention du lecteur avec une citation du document ou utilisez cet espace pour mettre en valeur un point clé. Pour placer cette zone de texte n’importe où sur la page, faites-la simplement glisser.]</w:t>
                          </w:r>
                        </w:p>
                      </w:sdtContent>
                    </w:sdt>
                  </w:txbxContent>
                </v:textbox>
              </v:shape>
            </w:pict>
          </mc:Fallback>
        </mc:AlternateContent>
      </w:r>
      <w:r w:rsidRPr="00583EA9">
        <w:rPr>
          <w:rFonts w:cs="Arial"/>
          <w:b/>
        </w:rPr>
        <w:t xml:space="preserve">5- </w:t>
      </w:r>
      <w:r>
        <w:rPr>
          <w:rFonts w:cs="Arial"/>
          <w:b/>
        </w:rPr>
        <w:t xml:space="preserve">Pour chacune des propositions suivantes (5.1 à 5.3), </w:t>
      </w:r>
      <w:r>
        <w:rPr>
          <w:rFonts w:cs="Arial"/>
        </w:rPr>
        <w:t>indiquer</w:t>
      </w:r>
      <w:r w:rsidRPr="00583EA9">
        <w:rPr>
          <w:rFonts w:cs="Arial"/>
        </w:rPr>
        <w:t xml:space="preserve"> </w:t>
      </w:r>
      <w:r w:rsidRPr="00583EA9">
        <w:rPr>
          <w:rFonts w:cs="Arial"/>
          <w:u w:val="single"/>
        </w:rPr>
        <w:t>la</w:t>
      </w:r>
      <w:r w:rsidRPr="00583EA9">
        <w:rPr>
          <w:rFonts w:cs="Arial"/>
        </w:rPr>
        <w:t xml:space="preserve"> bonne réponse</w:t>
      </w:r>
      <w:r>
        <w:rPr>
          <w:rFonts w:cs="Arial"/>
        </w:rPr>
        <w:t>.</w:t>
      </w:r>
    </w:p>
    <w:p w:rsidR="00AD1EE8" w:rsidRPr="00583EA9" w:rsidRDefault="00A62D94" w:rsidP="00436F1B">
      <w:pPr>
        <w:spacing w:after="120"/>
        <w:jc w:val="both"/>
        <w:rPr>
          <w:rFonts w:cs="Arial"/>
        </w:rPr>
      </w:pPr>
      <w:r w:rsidRPr="00583EA9">
        <w:rPr>
          <w:rFonts w:cs="Arial"/>
          <w:b/>
        </w:rPr>
        <w:t>5-1-</w:t>
      </w:r>
      <w:r w:rsidRPr="00583EA9">
        <w:rPr>
          <w:rFonts w:cs="Arial"/>
        </w:rPr>
        <w:t xml:space="preserve"> Ces différents spectres nous permettent alors :</w:t>
      </w:r>
    </w:p>
    <w:p w:rsidR="00AD1EE8" w:rsidRPr="00583EA9" w:rsidRDefault="00A62D94" w:rsidP="00436F1B">
      <w:pPr>
        <w:spacing w:before="120" w:after="60" w:line="240" w:lineRule="auto"/>
        <w:ind w:left="993" w:hanging="284"/>
        <w:jc w:val="both"/>
        <w:rPr>
          <w:rFonts w:cs="Arial"/>
        </w:rPr>
      </w:pPr>
      <w:r>
        <w:rPr>
          <w:rFonts w:cs="Arial"/>
        </w:rPr>
        <w:t>a- </w:t>
      </w:r>
      <w:r w:rsidRPr="00583EA9">
        <w:rPr>
          <w:rFonts w:cs="Arial"/>
        </w:rPr>
        <w:t xml:space="preserve">de déterminer la </w:t>
      </w:r>
      <w:r w:rsidRPr="00583EA9">
        <w:rPr>
          <w:rFonts w:cs="Arial"/>
        </w:rPr>
        <w:t>température de la plante</w:t>
      </w:r>
      <w:r>
        <w:rPr>
          <w:rFonts w:cs="Arial"/>
        </w:rPr>
        <w:t>.</w:t>
      </w:r>
    </w:p>
    <w:p w:rsidR="00AD1EE8" w:rsidRPr="00583EA9" w:rsidRDefault="00A62D94" w:rsidP="00436F1B">
      <w:pPr>
        <w:spacing w:before="120" w:after="60" w:line="240" w:lineRule="auto"/>
        <w:ind w:left="993" w:hanging="284"/>
        <w:jc w:val="both"/>
        <w:rPr>
          <w:rFonts w:cs="Arial"/>
        </w:rPr>
      </w:pPr>
      <w:r w:rsidRPr="00583EA9">
        <w:rPr>
          <w:rFonts w:cs="Arial"/>
        </w:rPr>
        <w:t>b</w:t>
      </w:r>
      <w:r>
        <w:rPr>
          <w:rFonts w:cs="Arial"/>
        </w:rPr>
        <w:t>- </w:t>
      </w:r>
      <w:r w:rsidRPr="00583EA9">
        <w:rPr>
          <w:rFonts w:cs="Arial"/>
        </w:rPr>
        <w:t>d’en déduire l</w:t>
      </w:r>
      <w:r>
        <w:rPr>
          <w:rFonts w:cs="Arial"/>
        </w:rPr>
        <w:t>a</w:t>
      </w:r>
      <w:r w:rsidRPr="00583EA9">
        <w:rPr>
          <w:rFonts w:cs="Arial"/>
        </w:rPr>
        <w:t xml:space="preserve"> composition chimique</w:t>
      </w:r>
      <w:r>
        <w:rPr>
          <w:rFonts w:cs="Arial"/>
        </w:rPr>
        <w:t xml:space="preserve"> des pigments.</w:t>
      </w:r>
    </w:p>
    <w:p w:rsidR="00051249" w:rsidRPr="00583EA9" w:rsidRDefault="00A62D94" w:rsidP="00436F1B">
      <w:pPr>
        <w:spacing w:before="120" w:after="60" w:line="240" w:lineRule="auto"/>
        <w:ind w:left="993" w:hanging="284"/>
        <w:jc w:val="both"/>
        <w:rPr>
          <w:rFonts w:cs="Arial"/>
        </w:rPr>
      </w:pPr>
      <w:r>
        <w:rPr>
          <w:rFonts w:cs="Arial"/>
        </w:rPr>
        <w:t>c- </w:t>
      </w:r>
      <w:r w:rsidRPr="00583EA9">
        <w:rPr>
          <w:rFonts w:cs="Arial"/>
        </w:rPr>
        <w:t>d’en déduire les longueurs d’ond</w:t>
      </w:r>
      <w:r>
        <w:rPr>
          <w:rFonts w:cs="Arial"/>
        </w:rPr>
        <w:t xml:space="preserve">es absorbées par chaque pigment </w:t>
      </w:r>
      <w:r w:rsidRPr="00583EA9">
        <w:rPr>
          <w:rFonts w:cs="Arial"/>
        </w:rPr>
        <w:t>photosynthétique</w:t>
      </w:r>
      <w:r>
        <w:rPr>
          <w:rFonts w:cs="Arial"/>
        </w:rPr>
        <w:t>.</w:t>
      </w:r>
    </w:p>
    <w:p w:rsidR="00AD1EE8" w:rsidRPr="00583EA9" w:rsidRDefault="00A62D94" w:rsidP="00436F1B">
      <w:pPr>
        <w:spacing w:before="120" w:after="60" w:line="240" w:lineRule="auto"/>
        <w:ind w:left="993" w:hanging="284"/>
        <w:rPr>
          <w:rFonts w:cs="Arial"/>
        </w:rPr>
      </w:pPr>
      <w:r w:rsidRPr="00583EA9">
        <w:rPr>
          <w:rFonts w:cs="Arial"/>
        </w:rPr>
        <w:t>d- d’en déduire la quantité de chaque pigment</w:t>
      </w:r>
      <w:r>
        <w:rPr>
          <w:rFonts w:cs="Arial"/>
        </w:rPr>
        <w:t>.</w:t>
      </w:r>
    </w:p>
    <w:p w:rsidR="00202B71" w:rsidRPr="00583EA9" w:rsidRDefault="00A62D94" w:rsidP="00AD1EE8">
      <w:pPr>
        <w:spacing w:after="0" w:line="360" w:lineRule="auto"/>
        <w:rPr>
          <w:rFonts w:cs="Arial"/>
          <w:b/>
          <w:bCs/>
        </w:rPr>
      </w:pPr>
    </w:p>
    <w:p w:rsidR="00583EA9" w:rsidRPr="00583EA9" w:rsidRDefault="00A62D94" w:rsidP="00436F1B">
      <w:pPr>
        <w:spacing w:after="120" w:line="240" w:lineRule="auto"/>
        <w:rPr>
          <w:rFonts w:cs="Arial"/>
        </w:rPr>
      </w:pPr>
      <w:r w:rsidRPr="00583EA9">
        <w:rPr>
          <w:rFonts w:cs="Arial"/>
          <w:b/>
          <w:bCs/>
        </w:rPr>
        <w:lastRenderedPageBreak/>
        <w:t>5-2-</w:t>
      </w:r>
      <w:r w:rsidRPr="00583EA9">
        <w:rPr>
          <w:rFonts w:cs="Arial"/>
        </w:rPr>
        <w:t xml:space="preserve"> Dans la cellule, l’énergie solaire captée par les pigments photosynthétiques : </w:t>
      </w:r>
    </w:p>
    <w:p w:rsidR="00583EA9" w:rsidRPr="00583EA9" w:rsidRDefault="00A62D94" w:rsidP="00436F1B">
      <w:pPr>
        <w:spacing w:before="60" w:after="60" w:line="240" w:lineRule="auto"/>
        <w:ind w:left="993" w:hanging="284"/>
        <w:rPr>
          <w:rFonts w:cs="Arial"/>
        </w:rPr>
      </w:pPr>
      <w:r w:rsidRPr="00583EA9">
        <w:rPr>
          <w:rFonts w:cs="Arial"/>
        </w:rPr>
        <w:t>a- permet la synthèse de la matière minérale</w:t>
      </w:r>
      <w:r>
        <w:rPr>
          <w:rFonts w:cs="Arial"/>
        </w:rPr>
        <w:t>.</w:t>
      </w:r>
    </w:p>
    <w:p w:rsidR="00583EA9" w:rsidRPr="00583EA9" w:rsidRDefault="00A62D94" w:rsidP="00436F1B">
      <w:pPr>
        <w:spacing w:before="120" w:after="60" w:line="240" w:lineRule="auto"/>
        <w:ind w:left="993" w:hanging="284"/>
        <w:rPr>
          <w:rFonts w:cs="Arial"/>
        </w:rPr>
      </w:pPr>
      <w:r w:rsidRPr="00583EA9">
        <w:rPr>
          <w:rFonts w:cs="Arial"/>
        </w:rPr>
        <w:t>b- permet la synthèse de la matière organique</w:t>
      </w:r>
      <w:r>
        <w:rPr>
          <w:rFonts w:cs="Arial"/>
        </w:rPr>
        <w:t>.</w:t>
      </w:r>
    </w:p>
    <w:p w:rsidR="00583EA9" w:rsidRPr="00583EA9" w:rsidRDefault="00A62D94" w:rsidP="00436F1B">
      <w:pPr>
        <w:spacing w:before="120" w:after="60" w:line="240" w:lineRule="auto"/>
        <w:ind w:left="993" w:hanging="284"/>
        <w:rPr>
          <w:rFonts w:cs="Arial"/>
        </w:rPr>
      </w:pPr>
      <w:r w:rsidRPr="00583EA9">
        <w:rPr>
          <w:rFonts w:cs="Arial"/>
        </w:rPr>
        <w:t>c- permet la consommation de matière organique</w:t>
      </w:r>
      <w:r>
        <w:rPr>
          <w:rFonts w:cs="Arial"/>
        </w:rPr>
        <w:t>.</w:t>
      </w:r>
    </w:p>
    <w:p w:rsidR="00583EA9" w:rsidRDefault="00A62D94" w:rsidP="00436F1B">
      <w:pPr>
        <w:spacing w:before="120" w:after="240" w:line="240" w:lineRule="auto"/>
        <w:ind w:left="993" w:hanging="284"/>
        <w:rPr>
          <w:rFonts w:cs="Arial"/>
        </w:rPr>
      </w:pPr>
      <w:r w:rsidRPr="00583EA9">
        <w:rPr>
          <w:rFonts w:cs="Arial"/>
        </w:rPr>
        <w:t xml:space="preserve">d- permet la </w:t>
      </w:r>
      <w:r>
        <w:rPr>
          <w:rFonts w:cs="Arial"/>
        </w:rPr>
        <w:t>consommation</w:t>
      </w:r>
      <w:r w:rsidRPr="00583EA9">
        <w:rPr>
          <w:rFonts w:cs="Arial"/>
        </w:rPr>
        <w:t xml:space="preserve"> de dioxy</w:t>
      </w:r>
      <w:r w:rsidRPr="00583EA9">
        <w:rPr>
          <w:rFonts w:cs="Arial"/>
        </w:rPr>
        <w:t>gène</w:t>
      </w:r>
      <w:r>
        <w:rPr>
          <w:rFonts w:cs="Arial"/>
        </w:rPr>
        <w:t>.</w:t>
      </w:r>
    </w:p>
    <w:p w:rsidR="00AD1EE8" w:rsidRPr="00583EA9" w:rsidRDefault="00A62D94" w:rsidP="00436F1B">
      <w:pPr>
        <w:spacing w:after="120" w:line="240" w:lineRule="auto"/>
        <w:jc w:val="both"/>
        <w:rPr>
          <w:rFonts w:cs="Arial"/>
        </w:rPr>
      </w:pPr>
      <w:r w:rsidRPr="00583EA9">
        <w:rPr>
          <w:rFonts w:cs="Arial"/>
          <w:b/>
          <w:bCs/>
        </w:rPr>
        <w:t>5-3-</w:t>
      </w:r>
      <w:r w:rsidRPr="00583EA9">
        <w:rPr>
          <w:rFonts w:cs="Arial"/>
        </w:rPr>
        <w:t xml:space="preserve"> L’être humain est dépendant de l’énergie solaire utilisée par les plantes pour son fonctionnement car</w:t>
      </w:r>
      <w:r>
        <w:rPr>
          <w:rFonts w:cs="Arial"/>
        </w:rPr>
        <w:t>, en présence de lumière et lors de la photosynthèse, l</w:t>
      </w:r>
      <w:r w:rsidRPr="00583EA9">
        <w:rPr>
          <w:rFonts w:cs="Arial"/>
        </w:rPr>
        <w:t>es plantes </w:t>
      </w:r>
      <w:r>
        <w:rPr>
          <w:rFonts w:cs="Arial"/>
        </w:rPr>
        <w:t xml:space="preserve">produisent </w:t>
      </w:r>
      <w:r w:rsidRPr="00583EA9">
        <w:rPr>
          <w:rFonts w:cs="Arial"/>
        </w:rPr>
        <w:t>:</w:t>
      </w:r>
    </w:p>
    <w:p w:rsidR="00AD1EE8" w:rsidRPr="00583EA9" w:rsidRDefault="00A62D94" w:rsidP="00436F1B">
      <w:pPr>
        <w:spacing w:before="120" w:after="60" w:line="240" w:lineRule="auto"/>
        <w:ind w:left="709"/>
        <w:jc w:val="both"/>
        <w:rPr>
          <w:rFonts w:cs="Arial"/>
        </w:rPr>
      </w:pPr>
      <w:r w:rsidRPr="00583EA9">
        <w:rPr>
          <w:rFonts w:cs="Arial"/>
        </w:rPr>
        <w:t>a- matière organique et O</w:t>
      </w:r>
      <w:r w:rsidRPr="00583EA9">
        <w:rPr>
          <w:rFonts w:cs="Arial"/>
          <w:vertAlign w:val="subscript"/>
        </w:rPr>
        <w:t>2</w:t>
      </w:r>
      <w:r w:rsidRPr="00EA34D7">
        <w:rPr>
          <w:rFonts w:cs="Arial"/>
        </w:rPr>
        <w:t xml:space="preserve"> </w:t>
      </w:r>
      <w:r>
        <w:rPr>
          <w:rFonts w:cs="Arial"/>
          <w:vertAlign w:val="subscript"/>
        </w:rPr>
        <w:t>.</w:t>
      </w:r>
    </w:p>
    <w:p w:rsidR="00AD1EE8" w:rsidRPr="00583EA9" w:rsidRDefault="00A62D94" w:rsidP="00436F1B">
      <w:pPr>
        <w:spacing w:before="120" w:after="60" w:line="240" w:lineRule="auto"/>
        <w:ind w:left="709"/>
        <w:jc w:val="both"/>
        <w:rPr>
          <w:rFonts w:cs="Arial"/>
        </w:rPr>
      </w:pPr>
      <w:r w:rsidRPr="00583EA9">
        <w:rPr>
          <w:rFonts w:cs="Arial"/>
        </w:rPr>
        <w:t>b- matière organique et CO</w:t>
      </w:r>
      <w:r w:rsidRPr="00583EA9">
        <w:rPr>
          <w:rFonts w:cs="Arial"/>
          <w:vertAlign w:val="subscript"/>
        </w:rPr>
        <w:t>2</w:t>
      </w:r>
      <w:r w:rsidRPr="00EA34D7">
        <w:rPr>
          <w:rFonts w:cs="Arial"/>
        </w:rPr>
        <w:t xml:space="preserve"> .</w:t>
      </w:r>
    </w:p>
    <w:p w:rsidR="00AD1EE8" w:rsidRPr="00583EA9" w:rsidRDefault="00A62D94" w:rsidP="00436F1B">
      <w:pPr>
        <w:spacing w:before="120" w:after="60" w:line="240" w:lineRule="auto"/>
        <w:ind w:left="709"/>
        <w:jc w:val="both"/>
        <w:rPr>
          <w:rFonts w:cs="Arial"/>
        </w:rPr>
      </w:pPr>
      <w:r w:rsidRPr="00583EA9">
        <w:rPr>
          <w:rFonts w:cs="Arial"/>
        </w:rPr>
        <w:t xml:space="preserve">c- </w:t>
      </w:r>
      <w:r w:rsidRPr="00583EA9">
        <w:rPr>
          <w:rFonts w:cs="Arial"/>
        </w:rPr>
        <w:t>matière minérale et O</w:t>
      </w:r>
      <w:r w:rsidRPr="00583EA9">
        <w:rPr>
          <w:rFonts w:cs="Arial"/>
          <w:vertAlign w:val="subscript"/>
        </w:rPr>
        <w:t>2</w:t>
      </w:r>
      <w:r>
        <w:rPr>
          <w:rFonts w:cs="Arial"/>
          <w:vertAlign w:val="subscript"/>
        </w:rPr>
        <w:t xml:space="preserve"> .</w:t>
      </w:r>
    </w:p>
    <w:p w:rsidR="00B57A87" w:rsidRPr="00583EA9" w:rsidRDefault="00A62D94" w:rsidP="00436F1B">
      <w:pPr>
        <w:spacing w:before="120" w:after="60" w:line="240" w:lineRule="auto"/>
        <w:ind w:left="709"/>
        <w:jc w:val="both"/>
        <w:rPr>
          <w:rFonts w:cs="Arial"/>
          <w:b/>
        </w:rPr>
      </w:pPr>
      <w:r w:rsidRPr="00583EA9">
        <w:rPr>
          <w:rFonts w:cs="Arial"/>
        </w:rPr>
        <w:t>d- matière minérale et CO</w:t>
      </w:r>
      <w:r w:rsidRPr="00583EA9">
        <w:rPr>
          <w:rFonts w:cs="Arial"/>
          <w:vertAlign w:val="subscript"/>
        </w:rPr>
        <w:t>2</w:t>
      </w:r>
      <w:r w:rsidRPr="00EA34D7">
        <w:rPr>
          <w:rFonts w:cs="Arial"/>
        </w:rPr>
        <w:t>.</w:t>
      </w:r>
      <w:r>
        <w:rPr>
          <w:rFonts w:cs="Arial"/>
          <w:vertAlign w:val="subscript"/>
        </w:rPr>
        <w:t xml:space="preserve"> </w:t>
      </w:r>
      <w:r>
        <w:br w:type="page"/>
      </w:r>
    </w:p>
    <w:p w:rsidR="00AB1D8F" w:rsidRPr="00A77456" w:rsidRDefault="00A62D94" w:rsidP="00AB1D8F">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AB1D8F" w:rsidRPr="00A77456" w:rsidRDefault="00A62D94" w:rsidP="00AB1D8F">
      <w:pPr>
        <w:spacing w:after="240"/>
        <w:jc w:val="center"/>
        <w:rPr>
          <w:rFonts w:eastAsia="Arial" w:cs="Arial"/>
          <w:i/>
        </w:rPr>
      </w:pPr>
      <w:r w:rsidRPr="00A77456">
        <w:rPr>
          <w:rFonts w:eastAsia="Arial" w:cs="Arial"/>
          <w:i/>
        </w:rPr>
        <w:t>Thème « </w:t>
      </w:r>
      <w:r>
        <w:rPr>
          <w:rFonts w:eastAsia="Arial" w:cs="Arial"/>
          <w:i/>
        </w:rPr>
        <w:t>Son et musique, porteurs d’information »</w:t>
      </w:r>
    </w:p>
    <w:p w:rsidR="00AB1D8F" w:rsidRPr="00D87AD1" w:rsidRDefault="00A62D94" w:rsidP="00AB1D8F">
      <w:pPr>
        <w:spacing w:after="120"/>
        <w:rPr>
          <w:b/>
          <w:sz w:val="22"/>
        </w:rPr>
      </w:pPr>
      <w:r>
        <w:rPr>
          <w:b/>
          <w:sz w:val="28"/>
        </w:rPr>
        <w:t>Enregistrement de fichiers sonores</w:t>
      </w:r>
    </w:p>
    <w:p w:rsidR="00675BCF" w:rsidRPr="00AB1D8F" w:rsidRDefault="00A62D94" w:rsidP="00AB1D8F">
      <w:pPr>
        <w:spacing w:after="240"/>
        <w:rPr>
          <w:i/>
        </w:rPr>
      </w:pPr>
      <w:r w:rsidRPr="00D74F67">
        <w:rPr>
          <w:i/>
        </w:rPr>
        <w:t>Sur 10 points</w:t>
      </w:r>
      <w:r w:rsidRPr="004C4020">
        <w:rPr>
          <w:rFonts w:cs="Arial"/>
          <w:b/>
          <w:bCs/>
          <w:caps/>
        </w:rPr>
        <w:t xml:space="preserve"> </w:t>
      </w:r>
    </w:p>
    <w:p w:rsidR="00C36D09" w:rsidRPr="008735E2" w:rsidRDefault="00A62D94" w:rsidP="00AB1D8F">
      <w:pPr>
        <w:spacing w:before="480" w:after="240"/>
        <w:jc w:val="both"/>
        <w:rPr>
          <w:rFonts w:eastAsiaTheme="minorEastAsia" w:cs="Arial"/>
        </w:rPr>
      </w:pPr>
      <w:r w:rsidRPr="008735E2">
        <w:rPr>
          <w:rFonts w:eastAsiaTheme="minorEastAsia" w:cs="Arial"/>
        </w:rPr>
        <w:t>On s’interroge sur la pertinence d’utiliser un smartphone pour</w:t>
      </w:r>
      <w:r w:rsidRPr="008735E2">
        <w:rPr>
          <w:rFonts w:eastAsiaTheme="minorEastAsia" w:cs="Arial"/>
        </w:rPr>
        <w:t xml:space="preserve"> télécharger et stocker de la musique. Pour cela, on étudie le lien entre la qualité de la numérisation d’un signal audio et la taille des fichiers numériques correspondants.</w:t>
      </w:r>
      <w:r>
        <w:rPr>
          <w:rFonts w:eastAsiaTheme="minorEastAsia" w:cs="Arial"/>
        </w:rPr>
        <w:t xml:space="preserve"> </w:t>
      </w:r>
    </w:p>
    <w:p w:rsidR="00647846" w:rsidRPr="008735E2" w:rsidRDefault="00A62D94" w:rsidP="00AB1D8F">
      <w:pPr>
        <w:spacing w:before="480" w:after="240"/>
        <w:rPr>
          <w:rFonts w:cs="Arial"/>
          <w:b/>
          <w:bCs/>
        </w:rPr>
      </w:pPr>
      <w:r>
        <w:rPr>
          <w:rFonts w:cs="Arial"/>
          <w:b/>
          <w:bCs/>
        </w:rPr>
        <w:t>Partie A :</w:t>
      </w:r>
      <w:r w:rsidRPr="008735E2">
        <w:rPr>
          <w:rFonts w:cs="Arial"/>
          <w:b/>
          <w:bCs/>
        </w:rPr>
        <w:t xml:space="preserve"> échantillonnage et quantification d’un signal audio</w:t>
      </w:r>
    </w:p>
    <w:p w:rsidR="00C36D09" w:rsidRPr="008735E2" w:rsidRDefault="00A62D94" w:rsidP="00AB1D8F">
      <w:pPr>
        <w:spacing w:after="240"/>
        <w:jc w:val="both"/>
        <w:rPr>
          <w:rFonts w:eastAsiaTheme="minorEastAsia" w:cs="Arial"/>
        </w:rPr>
      </w:pPr>
      <w:r w:rsidRPr="008735E2">
        <w:rPr>
          <w:rFonts w:eastAsiaTheme="minorEastAsia" w:cs="Arial"/>
        </w:rPr>
        <w:t>Le document 1 don</w:t>
      </w:r>
      <w:r w:rsidRPr="008735E2">
        <w:rPr>
          <w:rFonts w:eastAsiaTheme="minorEastAsia" w:cs="Arial"/>
        </w:rPr>
        <w:t>né en annexe et à rendre avec la copie représente une portion de signal enregistré et l’échantillonnage effectué avant la conversion en signal numérique.</w:t>
      </w:r>
    </w:p>
    <w:p w:rsidR="005C5B76" w:rsidRPr="00AB1D8F" w:rsidRDefault="00A62D94" w:rsidP="00AB1D8F">
      <w:pPr>
        <w:spacing w:after="120"/>
        <w:jc w:val="both"/>
        <w:rPr>
          <w:rFonts w:eastAsiaTheme="minorEastAsia" w:cs="Arial"/>
        </w:rPr>
      </w:pPr>
      <w:r w:rsidRPr="00AB1D8F">
        <w:rPr>
          <w:rFonts w:cs="Arial"/>
          <w:b/>
        </w:rPr>
        <w:t xml:space="preserve">1- </w:t>
      </w:r>
      <w:r w:rsidRPr="00AB1D8F">
        <w:rPr>
          <w:rFonts w:cs="Arial"/>
        </w:rPr>
        <w:t>Préciser la fréquence d’échantillonnage, choisie parmi les valeurs proposées ci-dessous :</w:t>
      </w:r>
    </w:p>
    <w:p w:rsidR="005C5B76" w:rsidRPr="00AB1D8F" w:rsidRDefault="00A62D94" w:rsidP="00AB1D8F">
      <w:pPr>
        <w:spacing w:after="240"/>
        <w:jc w:val="center"/>
        <w:rPr>
          <w:rFonts w:cs="Arial"/>
        </w:rPr>
      </w:pPr>
      <m:oMath>
        <m:r>
          <w:rPr>
            <w:rFonts w:ascii="Cambria Math" w:eastAsiaTheme="minorEastAsia" w:hAnsi="Cambria Math" w:cs="Arial"/>
          </w:rPr>
          <m:t xml:space="preserve">2 </m:t>
        </m:r>
        <m:r>
          <w:rPr>
            <w:rFonts w:ascii="Cambria Math" w:hAnsi="Cambria Math" w:cs="Arial"/>
          </w:rPr>
          <m:t>000</m:t>
        </m:r>
      </m:oMath>
      <w:r w:rsidRPr="00AB1D8F">
        <w:rPr>
          <w:rFonts w:cs="Arial"/>
        </w:rPr>
        <w:t xml:space="preserve"> Hz </w:t>
      </w:r>
      <w:r w:rsidRPr="00AB1D8F">
        <w:rPr>
          <w:rFonts w:cs="Arial"/>
        </w:rPr>
        <w:t xml:space="preserve"> ;  </w:t>
      </w:r>
      <w:r w:rsidRPr="00AB1D8F">
        <w:rPr>
          <w:rFonts w:cs="Arial"/>
        </w:rPr>
        <w:tab/>
      </w:r>
      <w:r w:rsidRPr="00AB1D8F">
        <w:rPr>
          <w:rFonts w:cs="Arial"/>
        </w:rPr>
        <w:tab/>
      </w:r>
      <m:oMath>
        <m:r>
          <w:rPr>
            <w:rFonts w:ascii="Cambria Math" w:hAnsi="Cambria Math" w:cs="Arial"/>
          </w:rPr>
          <m:t xml:space="preserve">12 500 </m:t>
        </m:r>
      </m:oMath>
      <w:r w:rsidRPr="00AB1D8F">
        <w:rPr>
          <w:rFonts w:cs="Arial"/>
        </w:rPr>
        <w:t xml:space="preserve">Hz  ;  </w:t>
      </w:r>
      <w:r w:rsidRPr="00AB1D8F">
        <w:rPr>
          <w:rFonts w:cs="Arial"/>
        </w:rPr>
        <w:tab/>
      </w:r>
      <w:r w:rsidRPr="00AB1D8F">
        <w:rPr>
          <w:rFonts w:cs="Arial"/>
        </w:rPr>
        <w:tab/>
      </w:r>
      <m:oMath>
        <m:r>
          <w:rPr>
            <w:rFonts w:ascii="Cambria Math" w:hAnsi="Cambria Math" w:cs="Arial"/>
          </w:rPr>
          <m:t>26 000 </m:t>
        </m:r>
      </m:oMath>
      <w:r w:rsidRPr="00AB1D8F">
        <w:rPr>
          <w:rFonts w:cs="Arial"/>
        </w:rPr>
        <w:t xml:space="preserve">Hz ; </w:t>
      </w:r>
      <w:r w:rsidRPr="00AB1D8F">
        <w:rPr>
          <w:rFonts w:cs="Arial"/>
        </w:rPr>
        <w:tab/>
      </w:r>
      <w:r w:rsidRPr="00AB1D8F">
        <w:rPr>
          <w:rFonts w:cs="Arial"/>
        </w:rPr>
        <w:tab/>
      </w:r>
      <m:oMath>
        <m:r>
          <w:rPr>
            <w:rFonts w:ascii="Cambria Math" w:hAnsi="Cambria Math" w:cs="Arial"/>
          </w:rPr>
          <m:t>44 100</m:t>
        </m:r>
      </m:oMath>
      <w:r w:rsidRPr="00AB1D8F">
        <w:rPr>
          <w:rFonts w:cs="Arial"/>
        </w:rPr>
        <w:t> Hz</w:t>
      </w:r>
    </w:p>
    <w:p w:rsidR="005C5B76" w:rsidRPr="00AB1D8F" w:rsidRDefault="00A62D94" w:rsidP="00AB1D8F">
      <w:pPr>
        <w:spacing w:after="120"/>
        <w:jc w:val="both"/>
        <w:rPr>
          <w:rFonts w:eastAsiaTheme="minorEastAsia" w:cs="Arial"/>
        </w:rPr>
      </w:pPr>
      <w:r w:rsidRPr="00AB1D8F">
        <w:rPr>
          <w:rFonts w:eastAsiaTheme="minorEastAsia" w:cs="Arial"/>
          <w:b/>
        </w:rPr>
        <w:t>2-</w:t>
      </w:r>
      <w:r>
        <w:rPr>
          <w:rFonts w:eastAsiaTheme="minorEastAsia" w:cs="Arial"/>
        </w:rPr>
        <w:t xml:space="preserve"> </w:t>
      </w:r>
      <w:r w:rsidRPr="00AB1D8F">
        <w:rPr>
          <w:rFonts w:eastAsiaTheme="minorEastAsia" w:cs="Arial"/>
        </w:rPr>
        <w:t xml:space="preserve">Après l’échantillonnage du signal audio, on procède à sa quantification. On admet que la tension quantifiée ne prend que des valeurs entières ; la valeur quantifiée d’une tension est l’entier le plus proche </w:t>
      </w:r>
      <w:r w:rsidRPr="00AB1D8F">
        <w:rPr>
          <w:rFonts w:eastAsiaTheme="minorEastAsia" w:cs="Arial"/>
        </w:rPr>
        <w:t xml:space="preserve">de cette tension. </w:t>
      </w:r>
    </w:p>
    <w:p w:rsidR="005C5B76" w:rsidRPr="008735E2" w:rsidRDefault="00A62D94" w:rsidP="00AB1D8F">
      <w:pPr>
        <w:pStyle w:val="Paragraphedeliste"/>
        <w:spacing w:after="240"/>
        <w:ind w:left="0"/>
        <w:jc w:val="both"/>
        <w:rPr>
          <w:rFonts w:ascii="Arial" w:eastAsiaTheme="minorEastAsia" w:hAnsi="Arial" w:cs="Arial"/>
          <w:sz w:val="24"/>
          <w:szCs w:val="24"/>
        </w:rPr>
      </w:pPr>
      <w:r w:rsidRPr="008735E2">
        <w:rPr>
          <w:rFonts w:ascii="Arial" w:eastAsiaTheme="minorEastAsia" w:hAnsi="Arial" w:cs="Arial"/>
          <w:sz w:val="24"/>
          <w:szCs w:val="24"/>
        </w:rPr>
        <w:t>Sur le document 1 en annexe, à rendre avec la copie, représenter la courbe des tensions après quantification.</w:t>
      </w:r>
    </w:p>
    <w:p w:rsidR="006F0E6B" w:rsidRPr="00AB1D8F" w:rsidRDefault="00A62D94" w:rsidP="00AB1D8F">
      <w:pPr>
        <w:spacing w:after="120"/>
        <w:jc w:val="both"/>
        <w:rPr>
          <w:rFonts w:cs="Arial"/>
        </w:rPr>
      </w:pPr>
      <w:r w:rsidRPr="00AB1D8F">
        <w:rPr>
          <w:rFonts w:cs="Arial"/>
          <w:b/>
        </w:rPr>
        <w:t>3-</w:t>
      </w:r>
      <w:r>
        <w:rPr>
          <w:rFonts w:cs="Arial"/>
        </w:rPr>
        <w:t xml:space="preserve"> </w:t>
      </w:r>
      <w:r w:rsidRPr="00AB1D8F">
        <w:rPr>
          <w:rFonts w:cs="Arial"/>
        </w:rPr>
        <w:t xml:space="preserve">Une plateforme de service de musique en ligne propose de la musique en qualité « 16-Bits / 44.1 kHz ». </w:t>
      </w:r>
    </w:p>
    <w:p w:rsidR="001B2D36" w:rsidRDefault="00A62D94" w:rsidP="00AB1D8F">
      <w:pPr>
        <w:pStyle w:val="Paragraphedeliste"/>
        <w:spacing w:after="240"/>
        <w:ind w:left="0"/>
        <w:jc w:val="both"/>
        <w:rPr>
          <w:rFonts w:ascii="Arial" w:hAnsi="Arial" w:cs="Arial"/>
          <w:sz w:val="24"/>
          <w:szCs w:val="24"/>
        </w:rPr>
      </w:pPr>
      <w:r>
        <w:rPr>
          <w:rFonts w:ascii="Arial" w:hAnsi="Arial" w:cs="Arial"/>
          <w:sz w:val="24"/>
          <w:szCs w:val="24"/>
        </w:rPr>
        <w:t xml:space="preserve">Expliquer ce que </w:t>
      </w:r>
      <w:r w:rsidRPr="006F0E6B">
        <w:rPr>
          <w:rFonts w:ascii="Arial" w:hAnsi="Arial" w:cs="Arial"/>
          <w:sz w:val="24"/>
          <w:szCs w:val="24"/>
        </w:rPr>
        <w:t>représentent ces deux valeurs</w:t>
      </w:r>
      <w:r>
        <w:rPr>
          <w:rFonts w:ascii="Arial" w:hAnsi="Arial" w:cs="Arial"/>
          <w:sz w:val="24"/>
          <w:szCs w:val="24"/>
        </w:rPr>
        <w:t>.</w:t>
      </w:r>
    </w:p>
    <w:p w:rsidR="001A4E33" w:rsidRPr="00AB1D8F" w:rsidRDefault="00A62D94" w:rsidP="00AB1D8F">
      <w:pPr>
        <w:spacing w:after="120"/>
        <w:jc w:val="both"/>
        <w:rPr>
          <w:rFonts w:cs="Arial"/>
        </w:rPr>
      </w:pPr>
      <w:r w:rsidRPr="00AB1D8F">
        <w:rPr>
          <w:rFonts w:eastAsiaTheme="minorEastAsia" w:cs="Arial"/>
          <w:b/>
        </w:rPr>
        <w:t>4-</w:t>
      </w:r>
      <w:r>
        <w:rPr>
          <w:rFonts w:eastAsiaTheme="minorEastAsia" w:cs="Arial"/>
        </w:rPr>
        <w:t xml:space="preserve"> </w:t>
      </w:r>
      <w:r w:rsidRPr="00AB1D8F">
        <w:rPr>
          <w:rFonts w:eastAsiaTheme="minorEastAsia" w:cs="Arial"/>
        </w:rPr>
        <w:t>Combien de niveaux de quantification différents peut-on obtenir lorsque le codage s’effectue sur 16 bits ? Choisir la bonne réponse parmi les propositions suivantes :</w:t>
      </w:r>
    </w:p>
    <w:p w:rsidR="0055739A" w:rsidRPr="001A4E33" w:rsidRDefault="00A62D94" w:rsidP="00AB1D8F">
      <w:pPr>
        <w:spacing w:after="240"/>
        <w:ind w:firstLine="708"/>
        <w:jc w:val="both"/>
        <w:rPr>
          <w:rFonts w:eastAsiaTheme="minorEastAsia" w:cs="Arial"/>
        </w:rPr>
      </w:pPr>
      <w:r>
        <w:rPr>
          <w:rFonts w:eastAsiaTheme="minorEastAsia" w:cs="Arial"/>
        </w:rPr>
        <w:tab/>
      </w:r>
      <m:oMath>
        <m:r>
          <w:rPr>
            <w:rFonts w:ascii="Cambria Math" w:eastAsiaTheme="minorEastAsia" w:hAnsi="Cambria Math" w:cs="Arial"/>
          </w:rPr>
          <m:t>16</m:t>
        </m:r>
      </m:oMath>
      <w:r>
        <w:rPr>
          <w:rFonts w:eastAsiaTheme="minorEastAsia" w:cs="Arial"/>
        </w:rPr>
        <w:t xml:space="preserve">                 </w:t>
      </w:r>
      <m:oMath>
        <m:r>
          <w:rPr>
            <w:rFonts w:ascii="Cambria Math" w:eastAsiaTheme="minorEastAsia" w:hAnsi="Cambria Math" w:cs="Arial"/>
          </w:rPr>
          <m:t xml:space="preserve">2×16=32  </m:t>
        </m:r>
      </m:oMath>
      <w:r>
        <w:rPr>
          <w:rFonts w:eastAsiaTheme="minorEastAsia" w:cs="Arial"/>
        </w:rPr>
        <w:tab/>
      </w:r>
      <w:r>
        <w:rPr>
          <w:rFonts w:eastAsiaTheme="minorEastAsia" w:cs="Arial"/>
        </w:rPr>
        <w:tab/>
      </w:r>
      <m:oMath>
        <m:sSup>
          <m:sSupPr>
            <m:ctrlPr>
              <w:rPr>
                <w:rFonts w:ascii="Cambria Math" w:eastAsiaTheme="minorEastAsia" w:hAnsi="Cambria Math" w:cs="Arial"/>
                <w:i/>
              </w:rPr>
            </m:ctrlPr>
          </m:sSupPr>
          <m:e>
            <m:r>
              <w:rPr>
                <w:rFonts w:ascii="Cambria Math" w:eastAsiaTheme="minorEastAsia" w:hAnsi="Cambria Math" w:cs="Arial"/>
              </w:rPr>
              <m:t>16</m:t>
            </m:r>
          </m:e>
          <m:sup>
            <m:r>
              <w:rPr>
                <w:rFonts w:ascii="Cambria Math" w:eastAsiaTheme="minorEastAsia" w:hAnsi="Cambria Math" w:cs="Arial"/>
              </w:rPr>
              <m:t>2</m:t>
            </m:r>
          </m:sup>
        </m:sSup>
        <m:r>
          <w:rPr>
            <w:rFonts w:ascii="Cambria Math" w:eastAsiaTheme="minorEastAsia" w:hAnsi="Cambria Math" w:cs="Arial"/>
          </w:rPr>
          <m:t xml:space="preserve">=256  </m:t>
        </m:r>
      </m:oMath>
      <w:r w:rsidRPr="1933F0A5">
        <w:rPr>
          <w:rFonts w:eastAsiaTheme="minorEastAsia" w:cs="Arial"/>
        </w:rPr>
        <w:t xml:space="preserve"> </w:t>
      </w:r>
      <w:r>
        <w:rPr>
          <w:rFonts w:eastAsiaTheme="minorEastAsia" w:cs="Arial"/>
        </w:rPr>
        <w:tab/>
      </w:r>
      <m:oMath>
        <m:sSup>
          <m:sSupPr>
            <m:ctrlPr>
              <w:rPr>
                <w:rFonts w:ascii="Cambria Math" w:eastAsiaTheme="minorEastAsia" w:hAnsi="Cambria Math" w:cs="Arial"/>
                <w:i/>
              </w:rPr>
            </m:ctrlPr>
          </m:sSupPr>
          <m:e>
            <m:r>
              <w:rPr>
                <w:rFonts w:ascii="Cambria Math" w:eastAsiaTheme="minorEastAsia" w:hAnsi="Cambria Math" w:cs="Arial"/>
              </w:rPr>
              <m:t xml:space="preserve">        2</m:t>
            </m:r>
          </m:e>
          <m:sup>
            <m:r>
              <w:rPr>
                <w:rFonts w:ascii="Cambria Math" w:eastAsiaTheme="minorEastAsia" w:hAnsi="Cambria Math" w:cs="Arial"/>
              </w:rPr>
              <m:t>16</m:t>
            </m:r>
          </m:sup>
        </m:sSup>
        <m:r>
          <w:rPr>
            <w:rFonts w:ascii="Cambria Math" w:eastAsiaTheme="minorEastAsia" w:hAnsi="Cambria Math" w:cs="Arial"/>
          </w:rPr>
          <m:t>=65 536</m:t>
        </m:r>
      </m:oMath>
      <w:r>
        <w:rPr>
          <w:rFonts w:eastAsiaTheme="minorEastAsia" w:cs="Arial"/>
        </w:rPr>
        <w:tab/>
      </w:r>
      <w:r w:rsidRPr="1933F0A5">
        <w:rPr>
          <w:rFonts w:eastAsiaTheme="minorEastAsia" w:cs="Arial"/>
        </w:rPr>
        <w:t xml:space="preserve">      </w:t>
      </w:r>
    </w:p>
    <w:p w:rsidR="00AB1D8F" w:rsidRDefault="00A62D94">
      <w:pPr>
        <w:spacing w:after="0" w:line="240" w:lineRule="auto"/>
        <w:rPr>
          <w:rFonts w:eastAsiaTheme="minorEastAsia" w:cs="Arial"/>
          <w:b/>
          <w:bCs/>
        </w:rPr>
      </w:pPr>
      <w:r>
        <w:rPr>
          <w:rFonts w:eastAsiaTheme="minorEastAsia" w:cs="Arial"/>
          <w:b/>
          <w:bCs/>
        </w:rPr>
        <w:br w:type="page"/>
      </w:r>
    </w:p>
    <w:p w:rsidR="00F101A6" w:rsidRPr="008F0973" w:rsidRDefault="00A62D94" w:rsidP="00AB1D8F">
      <w:pPr>
        <w:spacing w:after="240"/>
        <w:rPr>
          <w:rFonts w:eastAsiaTheme="minorEastAsia" w:cs="Arial"/>
          <w:b/>
          <w:bCs/>
        </w:rPr>
      </w:pPr>
      <w:r w:rsidRPr="008F0973">
        <w:rPr>
          <w:rFonts w:eastAsiaTheme="minorEastAsia" w:cs="Arial"/>
          <w:b/>
          <w:bCs/>
        </w:rPr>
        <w:lastRenderedPageBreak/>
        <w:t>Partie B : taille d’un fichier en haute définition</w:t>
      </w:r>
    </w:p>
    <w:p w:rsidR="00C84639" w:rsidRPr="008F0973" w:rsidRDefault="00A62D94" w:rsidP="00AB1D8F">
      <w:pPr>
        <w:spacing w:after="240"/>
        <w:jc w:val="both"/>
        <w:rPr>
          <w:rFonts w:eastAsiaTheme="minorEastAsia" w:cs="Arial"/>
        </w:rPr>
      </w:pPr>
      <w:r w:rsidRPr="008F0973">
        <w:rPr>
          <w:rFonts w:eastAsiaTheme="minorEastAsia" w:cs="Arial"/>
        </w:rPr>
        <w:t>Dans un studio d’enregistrement, on enregistre un morceau de musique en stéréo haute définition en choisissant un encodage sur 24 bits et une fréquence d’échantillonnage de 192 kHz.</w:t>
      </w:r>
    </w:p>
    <w:p w:rsidR="00C2136A" w:rsidRPr="00AB1D8F" w:rsidRDefault="00A62D94" w:rsidP="00AB1D8F">
      <w:pPr>
        <w:spacing w:after="120" w:line="240" w:lineRule="auto"/>
        <w:jc w:val="both"/>
        <w:rPr>
          <w:rFonts w:eastAsiaTheme="minorEastAsia" w:cs="Arial"/>
        </w:rPr>
      </w:pPr>
      <w:r w:rsidRPr="00AB1D8F">
        <w:rPr>
          <w:rFonts w:eastAsiaTheme="minorEastAsia" w:cs="Arial"/>
          <w:b/>
        </w:rPr>
        <w:t>5-</w:t>
      </w:r>
      <w:r>
        <w:rPr>
          <w:rFonts w:eastAsiaTheme="minorEastAsia" w:cs="Arial"/>
        </w:rPr>
        <w:t xml:space="preserve"> </w:t>
      </w:r>
      <w:r w:rsidRPr="00AB1D8F">
        <w:rPr>
          <w:rFonts w:eastAsiaTheme="minorEastAsia" w:cs="Arial"/>
        </w:rPr>
        <w:t xml:space="preserve">La taille T(en bit) d’un fichier audio numérique s’exprime en fonction de la fréquence d’échantillonnage </w:t>
      </w:r>
      <m:oMath>
        <m:sSub>
          <m:sSubPr>
            <m:ctrlPr>
              <w:rPr>
                <w:rFonts w:ascii="Cambria Math" w:eastAsiaTheme="minorEastAsia" w:hAnsi="Cambria Math" w:cs="Arial"/>
                <w:i/>
              </w:rPr>
            </m:ctrlPr>
          </m:sSubPr>
          <m:e>
            <m:r>
              <w:rPr>
                <w:rFonts w:ascii="Cambria Math" w:eastAsiaTheme="minorEastAsia" w:hAnsi="Cambria Math" w:cs="Arial"/>
              </w:rPr>
              <m:t>f</m:t>
            </m:r>
          </m:e>
          <m:sub>
            <m:r>
              <w:rPr>
                <w:rFonts w:ascii="Cambria Math" w:eastAsiaTheme="minorEastAsia" w:hAnsi="Cambria Math" w:cs="Arial"/>
              </w:rPr>
              <m:t>e</m:t>
            </m:r>
          </m:sub>
        </m:sSub>
        <m:r>
          <w:rPr>
            <w:rFonts w:ascii="Cambria Math" w:eastAsiaTheme="minorEastAsia" w:hAnsi="Cambria Math" w:cs="Arial"/>
          </w:rPr>
          <m:t xml:space="preserve"> </m:t>
        </m:r>
      </m:oMath>
      <w:r w:rsidRPr="00AB1D8F">
        <w:rPr>
          <w:rFonts w:eastAsiaTheme="minorEastAsia" w:cs="Arial"/>
        </w:rPr>
        <w:t xml:space="preserve">(en Hertz), du nombre </w:t>
      </w:r>
      <m:oMath>
        <m:r>
          <w:rPr>
            <w:rFonts w:ascii="Cambria Math" w:eastAsiaTheme="minorEastAsia" w:hAnsi="Cambria Math" w:cs="Arial"/>
          </w:rPr>
          <m:t>n</m:t>
        </m:r>
      </m:oMath>
      <w:r w:rsidRPr="00AB1D8F">
        <w:rPr>
          <w:rFonts w:eastAsiaTheme="minorEastAsia" w:cs="Arial"/>
        </w:rPr>
        <w:t xml:space="preserve"> de bits utilisés pour la quantification, de la durée </w:t>
      </w:r>
      <m:oMath>
        <m:r>
          <m:rPr>
            <m:sty m:val="p"/>
          </m:rPr>
          <w:rPr>
            <w:rFonts w:ascii="Cambria Math" w:eastAsiaTheme="minorEastAsia" w:hAnsi="Cambria Math" w:cs="Arial"/>
          </w:rPr>
          <m:t>Δ</m:t>
        </m:r>
        <m:r>
          <w:rPr>
            <w:rFonts w:ascii="Cambria Math" w:eastAsiaTheme="minorEastAsia" w:hAnsi="Cambria Math" w:cs="Arial"/>
          </w:rPr>
          <m:t>t</m:t>
        </m:r>
      </m:oMath>
      <w:r w:rsidRPr="00AB1D8F">
        <w:rPr>
          <w:rFonts w:eastAsiaTheme="minorEastAsia" w:cs="Arial"/>
        </w:rPr>
        <w:t xml:space="preserve"> de l’enregistrement et du nombre </w:t>
      </w:r>
      <m:oMath>
        <m:r>
          <w:rPr>
            <w:rFonts w:ascii="Cambria Math" w:eastAsiaTheme="minorEastAsia" w:hAnsi="Cambria Math" w:cs="Arial"/>
          </w:rPr>
          <m:t>k</m:t>
        </m:r>
      </m:oMath>
      <w:r w:rsidRPr="00AB1D8F">
        <w:rPr>
          <w:rFonts w:eastAsiaTheme="minorEastAsia" w:cs="Arial"/>
        </w:rPr>
        <w:t xml:space="preserve"> de voies d’enregistrement (u</w:t>
      </w:r>
      <w:r w:rsidRPr="00AB1D8F">
        <w:rPr>
          <w:rFonts w:eastAsiaTheme="minorEastAsia" w:cs="Arial"/>
        </w:rPr>
        <w:t>ne en mono, deux en stéréo)  selon la relation :</w:t>
      </w:r>
    </w:p>
    <w:p w:rsidR="00C2136A" w:rsidRPr="008F0973" w:rsidRDefault="00A62D94" w:rsidP="00AB1D8F">
      <w:pPr>
        <w:spacing w:after="120" w:line="240" w:lineRule="auto"/>
        <w:jc w:val="both"/>
        <w:rPr>
          <w:rFonts w:eastAsiaTheme="minorEastAsia" w:cs="Arial"/>
        </w:rPr>
      </w:pPr>
      <m:oMathPara>
        <m:oMath>
          <m:r>
            <w:rPr>
              <w:rFonts w:ascii="Cambria Math" w:eastAsiaTheme="minorEastAsia" w:hAnsi="Cambria Math" w:cs="Arial"/>
            </w:rPr>
            <m:t>T</m:t>
          </m:r>
          <m:r>
            <w:rPr>
              <w:rFonts w:ascii="Cambria Math" w:eastAsiaTheme="minorEastAsia" w:hAnsi="Cambria Math" w:cs="Arial"/>
            </w:rPr>
            <m:t xml:space="preserve">= </m:t>
          </m:r>
          <m:sSub>
            <m:sSubPr>
              <m:ctrlPr>
                <w:rPr>
                  <w:rFonts w:ascii="Cambria Math" w:eastAsiaTheme="minorEastAsia" w:hAnsi="Cambria Math" w:cs="Arial"/>
                  <w:i/>
                </w:rPr>
              </m:ctrlPr>
            </m:sSubPr>
            <m:e>
              <m:r>
                <w:rPr>
                  <w:rFonts w:ascii="Cambria Math" w:eastAsiaTheme="minorEastAsia" w:hAnsi="Cambria Math" w:cs="Arial"/>
                </w:rPr>
                <m:t>f</m:t>
              </m:r>
            </m:e>
            <m:sub>
              <m:r>
                <w:rPr>
                  <w:rFonts w:ascii="Cambria Math" w:eastAsiaTheme="minorEastAsia" w:hAnsi="Cambria Math" w:cs="Arial"/>
                </w:rPr>
                <m:t>e</m:t>
              </m:r>
            </m:sub>
          </m:sSub>
          <m:r>
            <w:rPr>
              <w:rFonts w:ascii="Cambria Math" w:eastAsiaTheme="minorEastAsia" w:hAnsi="Cambria Math" w:cs="Arial"/>
            </w:rPr>
            <m:t>×</m:t>
          </m:r>
          <m:r>
            <w:rPr>
              <w:rFonts w:ascii="Cambria Math" w:eastAsiaTheme="minorEastAsia" w:hAnsi="Cambria Math" w:cs="Arial"/>
            </w:rPr>
            <m:t>n</m:t>
          </m:r>
          <m:r>
            <w:rPr>
              <w:rFonts w:ascii="Cambria Math" w:eastAsiaTheme="minorEastAsia" w:hAnsi="Cambria Math" w:cs="Arial"/>
            </w:rPr>
            <m:t>×</m:t>
          </m:r>
          <m:r>
            <m:rPr>
              <m:sty m:val="p"/>
            </m:rPr>
            <w:rPr>
              <w:rFonts w:ascii="Cambria Math" w:eastAsiaTheme="minorEastAsia" w:hAnsi="Cambria Math" w:cs="Arial"/>
            </w:rPr>
            <m:t xml:space="preserve"> Δ</m:t>
          </m:r>
          <m:r>
            <w:rPr>
              <w:rFonts w:ascii="Cambria Math" w:eastAsiaTheme="minorEastAsia" w:hAnsi="Cambria Math" w:cs="Arial"/>
            </w:rPr>
            <m:t>t</m:t>
          </m:r>
          <m:r>
            <w:rPr>
              <w:rFonts w:ascii="Cambria Math" w:eastAsiaTheme="minorEastAsia" w:hAnsi="Cambria Math" w:cs="Arial"/>
            </w:rPr>
            <m:t>×</m:t>
          </m:r>
          <m:r>
            <w:rPr>
              <w:rFonts w:ascii="Cambria Math" w:eastAsiaTheme="minorEastAsia" w:hAnsi="Cambria Math" w:cs="Arial"/>
            </w:rPr>
            <m:t>k</m:t>
          </m:r>
        </m:oMath>
      </m:oMathPara>
    </w:p>
    <w:p w:rsidR="009B7DD3" w:rsidRPr="008F0973" w:rsidRDefault="00A62D94" w:rsidP="00AB1D8F">
      <w:pPr>
        <w:spacing w:after="240" w:line="240" w:lineRule="auto"/>
        <w:ind w:hanging="283"/>
        <w:jc w:val="both"/>
        <w:rPr>
          <w:rFonts w:eastAsiaTheme="minorEastAsia" w:cs="Arial"/>
        </w:rPr>
      </w:pPr>
      <w:r>
        <w:rPr>
          <w:rFonts w:eastAsiaTheme="minorEastAsia" w:cs="Arial"/>
        </w:rPr>
        <w:t xml:space="preserve">     </w:t>
      </w:r>
      <w:r w:rsidRPr="008F0973">
        <w:rPr>
          <w:rFonts w:eastAsiaTheme="minorEastAsia" w:cs="Arial"/>
        </w:rPr>
        <w:t xml:space="preserve">Vérifier que l’espace de stockage nécessaire pour enregistrer en stéréo haute définition une seconde de musique est de </w:t>
      </w:r>
      <m:oMath>
        <m:r>
          <w:rPr>
            <w:rFonts w:ascii="Cambria Math" w:eastAsiaTheme="minorEastAsia" w:hAnsi="Cambria Math" w:cs="Arial"/>
          </w:rPr>
          <m:t>1,152</m:t>
        </m:r>
      </m:oMath>
      <w:r w:rsidRPr="008F0973">
        <w:rPr>
          <w:rFonts w:eastAsiaTheme="minorEastAsia" w:cs="Arial"/>
        </w:rPr>
        <w:t> Mo. On rappelle qu’un octet est égal à 8 bits.</w:t>
      </w:r>
    </w:p>
    <w:p w:rsidR="0080703F" w:rsidRPr="00AB1D8F" w:rsidRDefault="00A62D94" w:rsidP="00AB1D8F">
      <w:pPr>
        <w:spacing w:after="240" w:line="240" w:lineRule="auto"/>
        <w:jc w:val="both"/>
        <w:rPr>
          <w:rFonts w:eastAsiaTheme="minorEastAsia" w:cs="Arial"/>
        </w:rPr>
      </w:pPr>
      <w:r w:rsidRPr="00AB1D8F">
        <w:rPr>
          <w:rFonts w:eastAsiaTheme="minorEastAsia" w:cs="Arial"/>
          <w:b/>
        </w:rPr>
        <w:t>6-</w:t>
      </w:r>
      <w:r>
        <w:rPr>
          <w:rFonts w:eastAsiaTheme="minorEastAsia" w:cs="Arial"/>
        </w:rPr>
        <w:t xml:space="preserve"> </w:t>
      </w:r>
      <w:r w:rsidRPr="00AB1D8F">
        <w:rPr>
          <w:rFonts w:eastAsiaTheme="minorEastAsia" w:cs="Arial"/>
        </w:rPr>
        <w:t>Avec 20</w:t>
      </w:r>
      <w:r w:rsidRPr="00AB1D8F">
        <w:rPr>
          <w:rFonts w:eastAsiaTheme="minorEastAsia" w:cs="Arial"/>
        </w:rPr>
        <w:t>0 Mo de stockage, dispose-t-on de suffisamment d’espace pour enregistrer cinq minutes de musique en stéréo haute définition ?</w:t>
      </w:r>
    </w:p>
    <w:p w:rsidR="00F82F63" w:rsidRPr="008F0973" w:rsidRDefault="00A62D94" w:rsidP="00AB1D8F">
      <w:pPr>
        <w:spacing w:after="120"/>
        <w:jc w:val="both"/>
        <w:rPr>
          <w:rFonts w:eastAsiaTheme="minorEastAsia" w:cs="Arial"/>
          <w:i/>
          <w:iCs/>
          <w:color w:val="F79646" w:themeColor="accent6"/>
        </w:rPr>
      </w:pPr>
      <w:r>
        <w:rPr>
          <w:rFonts w:eastAsiaTheme="minorEastAsia" w:cs="Arial"/>
          <w:b/>
          <w:bCs/>
        </w:rPr>
        <w:t>7-</w:t>
      </w:r>
      <w:r w:rsidRPr="1933F0A5">
        <w:rPr>
          <w:rFonts w:eastAsiaTheme="minorEastAsia" w:cs="Arial"/>
        </w:rPr>
        <w:t xml:space="preserve"> </w:t>
      </w:r>
      <w:r w:rsidRPr="008F0973">
        <w:rPr>
          <w:rFonts w:eastAsiaTheme="minorEastAsia" w:cs="Arial"/>
        </w:rPr>
        <w:t>Le dispositif d’encodage et de compression FLAC (Free Lossless Audio Codec) permet</w:t>
      </w:r>
      <w:r>
        <w:rPr>
          <w:rFonts w:eastAsiaTheme="minorEastAsia" w:cs="Arial"/>
        </w:rPr>
        <w:t xml:space="preserve">, par compression sans perte, de réduire de </w:t>
      </w:r>
      <w:r>
        <w:rPr>
          <w:rFonts w:eastAsiaTheme="minorEastAsia" w:cs="Arial"/>
        </w:rPr>
        <w:t>55 % la taille des fichiers.</w:t>
      </w:r>
      <w:r>
        <w:rPr>
          <w:rFonts w:eastAsiaTheme="minorEastAsia" w:cs="Arial"/>
          <w:i/>
          <w:iCs/>
          <w:color w:val="F79646" w:themeColor="accent6"/>
        </w:rPr>
        <w:t xml:space="preserve"> </w:t>
      </w:r>
      <w:r>
        <w:rPr>
          <w:rFonts w:eastAsiaTheme="minorEastAsia" w:cs="Arial"/>
        </w:rPr>
        <w:t xml:space="preserve">Son </w:t>
      </w:r>
      <w:r w:rsidRPr="008F0973">
        <w:rPr>
          <w:rFonts w:eastAsiaTheme="minorEastAsia" w:cs="Arial"/>
        </w:rPr>
        <w:t>taux de compression</w:t>
      </w:r>
      <w:r>
        <w:rPr>
          <w:rFonts w:eastAsiaTheme="minorEastAsia" w:cs="Arial"/>
        </w:rPr>
        <w:t>,</w:t>
      </w:r>
      <w:r w:rsidRPr="008F0973">
        <w:rPr>
          <w:rFonts w:eastAsiaTheme="minorEastAsia" w:cs="Arial"/>
        </w:rPr>
        <w:t xml:space="preserve"> défini comme le rapport de la taille du fichier compressé sur la taille du fichier initial</w:t>
      </w:r>
      <w:r>
        <w:rPr>
          <w:rFonts w:eastAsiaTheme="minorEastAsia" w:cs="Arial"/>
        </w:rPr>
        <w:t>, est donc de 45%.</w:t>
      </w:r>
    </w:p>
    <w:p w:rsidR="00DD41FD" w:rsidRPr="00AB1D8F" w:rsidRDefault="00A62D94" w:rsidP="00AB1D8F">
      <w:pPr>
        <w:spacing w:after="240" w:line="240" w:lineRule="auto"/>
        <w:ind w:hanging="1"/>
        <w:jc w:val="both"/>
        <w:rPr>
          <w:rFonts w:eastAsiaTheme="minorEastAsia" w:cs="Arial"/>
        </w:rPr>
      </w:pPr>
      <w:r w:rsidRPr="008F0973">
        <w:rPr>
          <w:rFonts w:eastAsiaTheme="minorEastAsia" w:cs="Arial"/>
        </w:rPr>
        <w:t xml:space="preserve">Avec 200 Mo de stockage, dispose-t-on de suffisamment d’espace pour enregistrer cinq minutes </w:t>
      </w:r>
      <w:r w:rsidRPr="008F0973">
        <w:rPr>
          <w:rFonts w:eastAsiaTheme="minorEastAsia" w:cs="Arial"/>
        </w:rPr>
        <w:t>de musique en stéréo haute définition compressé</w:t>
      </w:r>
      <w:r>
        <w:rPr>
          <w:rFonts w:eastAsiaTheme="minorEastAsia" w:cs="Arial"/>
        </w:rPr>
        <w:t>es</w:t>
      </w:r>
      <w:r w:rsidRPr="008F0973">
        <w:rPr>
          <w:rFonts w:eastAsiaTheme="minorEastAsia" w:cs="Arial"/>
        </w:rPr>
        <w:t> </w:t>
      </w:r>
      <w:r>
        <w:rPr>
          <w:rFonts w:eastAsiaTheme="minorEastAsia" w:cs="Arial"/>
        </w:rPr>
        <w:t xml:space="preserve">par FLAC </w:t>
      </w:r>
      <w:r w:rsidRPr="008F0973">
        <w:rPr>
          <w:rFonts w:eastAsiaTheme="minorEastAsia" w:cs="Arial"/>
        </w:rPr>
        <w:t>?</w:t>
      </w:r>
      <w:r>
        <w:br w:type="page"/>
      </w:r>
    </w:p>
    <w:p w:rsidR="003D1776" w:rsidRPr="00297AF4" w:rsidRDefault="003D1776" w:rsidP="00297AF4">
      <w:pPr>
        <w:jc w:val="both"/>
      </w:pPr>
      <w:r>
        <w:lastRenderedPageBreak/>
        <w:br w:type="page"/>
      </w:r>
    </w:p>
    <w:p w:rsidR="005B7AE3" w:rsidRDefault="00A62D94" w:rsidP="005B7AE3">
      <w:pPr>
        <w:spacing w:after="240"/>
        <w:jc w:val="center"/>
        <w:rPr>
          <w:b/>
          <w:sz w:val="28"/>
          <w:u w:val="single"/>
        </w:rPr>
      </w:pPr>
      <w:r w:rsidRPr="00B317F9">
        <w:rPr>
          <w:b/>
          <w:sz w:val="32"/>
          <w:u w:val="single"/>
        </w:rPr>
        <w:lastRenderedPageBreak/>
        <w:t>Document réponse à rendre avec la copie</w:t>
      </w:r>
    </w:p>
    <w:p w:rsidR="005B7AE3" w:rsidRDefault="00A62D94" w:rsidP="005B7AE3">
      <w:pPr>
        <w:spacing w:after="120"/>
        <w:rPr>
          <w:b/>
          <w:sz w:val="28"/>
        </w:rPr>
      </w:pPr>
      <w:r>
        <w:rPr>
          <w:b/>
          <w:sz w:val="28"/>
        </w:rPr>
        <w:t>Exercice 3</w:t>
      </w:r>
    </w:p>
    <w:p w:rsidR="00B30429" w:rsidRDefault="00A62D94" w:rsidP="005B7AE3">
      <w:pPr>
        <w:spacing w:after="240"/>
        <w:rPr>
          <w:rFonts w:cs="Arial"/>
          <w:b/>
          <w:bCs/>
        </w:rPr>
      </w:pPr>
      <w:r>
        <w:rPr>
          <w:b/>
          <w:sz w:val="28"/>
        </w:rPr>
        <w:t>Enregistrement de fichiers sonores</w:t>
      </w:r>
    </w:p>
    <w:p w:rsidR="00F979B2" w:rsidRPr="00C85DC1" w:rsidRDefault="00A62D94" w:rsidP="005B7AE3">
      <w:pPr>
        <w:rPr>
          <w:rFonts w:cs="Arial"/>
          <w:b/>
          <w:bCs/>
        </w:rPr>
      </w:pPr>
      <w:r>
        <w:rPr>
          <w:rFonts w:cs="Arial"/>
          <w:b/>
          <w:bCs/>
        </w:rPr>
        <w:t xml:space="preserve">Document 1 - </w:t>
      </w:r>
      <w:r w:rsidRPr="00C85DC1">
        <w:rPr>
          <w:rFonts w:cs="Arial"/>
          <w:b/>
          <w:bCs/>
        </w:rPr>
        <w:t xml:space="preserve">Question 2 </w:t>
      </w:r>
    </w:p>
    <w:p w:rsidR="00B478BA" w:rsidRDefault="00A62D94" w:rsidP="005B7AE3">
      <w:pPr>
        <w:jc w:val="both"/>
        <w:rPr>
          <w:rFonts w:eastAsiaTheme="minorEastAsia" w:cs="Arial"/>
        </w:rPr>
      </w:pPr>
      <w:r>
        <w:rPr>
          <w:rFonts w:cs="Arial"/>
        </w:rPr>
        <w:t xml:space="preserve">Représentation de la </w:t>
      </w:r>
      <w:r w:rsidRPr="2EA0BB0F">
        <w:rPr>
          <w:rFonts w:eastAsiaTheme="minorEastAsia" w:cs="Arial"/>
        </w:rPr>
        <w:t>tension d’un signal audio analogique en fonction du temps</w:t>
      </w:r>
      <w:r>
        <w:rPr>
          <w:rFonts w:eastAsiaTheme="minorEastAsia" w:cs="Arial"/>
        </w:rPr>
        <w:t xml:space="preserve"> et </w:t>
      </w:r>
      <w:r w:rsidRPr="750E68B3">
        <w:rPr>
          <w:rFonts w:eastAsiaTheme="minorEastAsia" w:cs="Arial"/>
        </w:rPr>
        <w:t xml:space="preserve">mesures </w:t>
      </w:r>
      <w:r>
        <w:rPr>
          <w:rFonts w:eastAsiaTheme="minorEastAsia" w:cs="Arial"/>
        </w:rPr>
        <w:t>après échantillonnage.</w:t>
      </w:r>
    </w:p>
    <w:p w:rsidR="00B478BA" w:rsidRDefault="00A62D94" w:rsidP="00B478BA">
      <w:pPr>
        <w:jc w:val="center"/>
        <w:rPr>
          <w:rFonts w:cs="Arial"/>
        </w:rPr>
      </w:pPr>
    </w:p>
    <w:p w:rsidR="00B478BA" w:rsidRPr="00AA4EDE" w:rsidRDefault="00A62D94" w:rsidP="00B478BA">
      <w:pPr>
        <w:jc w:val="center"/>
        <w:rPr>
          <w:rFonts w:cs="Arial"/>
        </w:rPr>
      </w:pPr>
      <w:r>
        <w:rPr>
          <w:noProof/>
        </w:rPr>
        <w:drawing>
          <wp:inline distT="0" distB="0" distL="0" distR="0" wp14:anchorId="786DB793" wp14:editId="2428786B">
            <wp:extent cx="4870768" cy="4219575"/>
            <wp:effectExtent l="0" t="0" r="6350" b="0"/>
            <wp:docPr id="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885096" cy="4231987"/>
                    </a:xfrm>
                    <a:prstGeom prst="rect">
                      <a:avLst/>
                    </a:prstGeom>
                  </pic:spPr>
                </pic:pic>
              </a:graphicData>
            </a:graphic>
          </wp:inline>
        </w:drawing>
      </w:r>
    </w:p>
    <w:p w:rsidR="003B5FE6" w:rsidRDefault="00A62D94"/>
    <w:sectPr w:rsidR="003B5FE6" w:rsidSect="00E61EB3">
      <w:headerReference w:type="even" r:id="rId25"/>
      <w:headerReference w:type="default" r:id="rId26"/>
      <w:footerReference w:type="even" r:id="rId27"/>
      <w:footerReference w:type="default" r:id="rId28"/>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0B3" w:rsidRDefault="005200B3" w:rsidP="0053612B">
      <w:pPr>
        <w:spacing w:after="0" w:line="240" w:lineRule="auto"/>
      </w:pPr>
      <w:r>
        <w:separator/>
      </w:r>
    </w:p>
  </w:endnote>
  <w:endnote w:type="continuationSeparator" w:id="0">
    <w:p w:rsidR="005200B3" w:rsidRDefault="005200B3" w:rsidP="0053612B">
      <w:pPr>
        <w:spacing w:after="0" w:line="240" w:lineRule="auto"/>
      </w:pPr>
      <w:r>
        <w:continuationSeparator/>
      </w:r>
    </w:p>
  </w:endnote>
  <w:endnote w:type="continuationNotice" w:id="1">
    <w:p w:rsidR="005200B3" w:rsidRDefault="005200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0"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A62D94" w:rsidRPr="00A62D94">
      <w:rPr>
        <w:noProof/>
        <w:color w:val="000000" w:themeColor="text1"/>
        <w:sz w:val="20"/>
      </w:rPr>
      <w:t>12</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A62D94" w:rsidRPr="00A62D94">
      <w:rPr>
        <w:noProof/>
        <w:color w:val="000000" w:themeColor="text1"/>
        <w:sz w:val="20"/>
      </w:rPr>
      <w:t>12</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A62D94" w:rsidRPr="00A62D94">
      <w:rPr>
        <w:noProof/>
        <w:color w:val="000000" w:themeColor="text1"/>
        <w:sz w:val="20"/>
      </w:rPr>
      <w:t>13</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A62D94" w:rsidRPr="00A62D94">
      <w:rPr>
        <w:noProof/>
        <w:color w:val="000000" w:themeColor="text1"/>
        <w:sz w:val="20"/>
      </w:rPr>
      <w:t>13</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0B3" w:rsidRDefault="005200B3" w:rsidP="0053612B">
      <w:pPr>
        <w:spacing w:after="0" w:line="240" w:lineRule="auto"/>
      </w:pPr>
      <w:r>
        <w:separator/>
      </w:r>
    </w:p>
  </w:footnote>
  <w:footnote w:type="continuationSeparator" w:id="0">
    <w:p w:rsidR="005200B3" w:rsidRDefault="005200B3" w:rsidP="0053612B">
      <w:pPr>
        <w:spacing w:after="0" w:line="240" w:lineRule="auto"/>
      </w:pPr>
      <w:r>
        <w:continuationSeparator/>
      </w:r>
    </w:p>
  </w:footnote>
  <w:footnote w:type="continuationNotice" w:id="1">
    <w:p w:rsidR="005200B3" w:rsidRDefault="005200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2"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1"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00B3"/>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4F4"/>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62D94"/>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character" w:styleId="Lienhypertexte">
    <w:name w:val="Hyperlink"/>
    <w:basedOn w:val="Policepardfaut"/>
    <w:uiPriority w:val="99"/>
    <w:unhideWhenUsed/>
    <w:rsid w:val="005D3BC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8" Type="http://schemas.openxmlformats.org/officeDocument/2006/relationships/image" Target="media/image3.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webSettings" Target="webSettings.xml"/><Relationship Id="rId17" Type="http://schemas.openxmlformats.org/officeDocument/2006/relationships/image" Target="media/image4.emf"/><Relationship Id="rId25" Type="http://schemas.openxmlformats.org/officeDocument/2006/relationships/header" Target="header1.xml"/><Relationship Id="rId2" Type="http://schemas.openxmlformats.org/officeDocument/2006/relationships/customXml" Target="../customXml/item2.xml"/><Relationship Id="rId20" Type="http://schemas.openxmlformats.org/officeDocument/2006/relationships/hyperlink" Target="https://www.ilephysique.net/img/forum_img/0258/forum_258713_1.jp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24" Type="http://schemas.openxmlformats.org/officeDocument/2006/relationships/image" Target="media/image6.png"/><Relationship Id="rId5" Type="http://schemas.openxmlformats.org/officeDocument/2006/relationships/styles" Target="styles.xml"/><Relationship Id="rId23" Type="http://schemas.openxmlformats.org/officeDocument/2006/relationships/hyperlink" Target="http://www.snv.jussieu.fr/bmedia/Photosynthese/exp233.html" TargetMode="External"/><Relationship Id="rId28"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oleObject" Target="embeddings/oleObject1.bin"/><Relationship Id="rId4" Type="http://schemas.openxmlformats.org/officeDocument/2006/relationships/numbering" Target="numbering.xml"/><Relationship Id="rId9" Type="http://schemas.openxmlformats.org/officeDocument/2006/relationships/endnotes" Target="endnotes.xml"/><Relationship Id="rId22" Type="http://schemas.openxmlformats.org/officeDocument/2006/relationships/image" Target="media/image5.png"/><Relationship Id="rId27" Type="http://schemas.openxmlformats.org/officeDocument/2006/relationships/footer" Target="foot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4A624B-9CC0-4122-83AF-87CB78FBF0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1779</Words>
  <Characters>9785</Characters>
  <Application>Microsoft Office Word</Application>
  <DocSecurity>0</DocSecurity>
  <Lines>81</Lines>
  <Paragraphs>23</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