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852AD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852AD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852AD1"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852AD1">
              <w:rPr>
                <w:rFonts w:eastAsia="Times New Roman"/>
                <w:noProof/>
                <w:color w:val="000000" w:themeColor="text1"/>
                <w:sz w:val="20"/>
                <w:szCs w:val="22"/>
              </w:rPr>
              <w:t>11</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D4DB3" w:rsidRPr="00A77456" w:rsidRDefault="00852AD1" w:rsidP="00BD4DB3">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D4DB3" w:rsidRPr="00A77456" w:rsidRDefault="00852AD1" w:rsidP="00BD4DB3">
      <w:pPr>
        <w:spacing w:after="240"/>
        <w:jc w:val="center"/>
        <w:rPr>
          <w:rFonts w:eastAsia="Arial" w:cs="Arial"/>
          <w:i/>
        </w:rPr>
      </w:pPr>
      <w:r w:rsidRPr="00A77456">
        <w:rPr>
          <w:rFonts w:eastAsia="Arial" w:cs="Arial"/>
          <w:i/>
        </w:rPr>
        <w:t>Thème « </w:t>
      </w:r>
      <w:r>
        <w:rPr>
          <w:rFonts w:eastAsia="Arial" w:cs="Arial"/>
          <w:i/>
        </w:rPr>
        <w:t>Science, climat et société »</w:t>
      </w:r>
    </w:p>
    <w:p w:rsidR="00BD4DB3" w:rsidRPr="00D87AD1" w:rsidRDefault="00852AD1" w:rsidP="00BD4DB3">
      <w:pPr>
        <w:spacing w:after="120"/>
        <w:rPr>
          <w:b/>
          <w:sz w:val="22"/>
        </w:rPr>
      </w:pPr>
      <w:r>
        <w:rPr>
          <w:b/>
          <w:sz w:val="28"/>
        </w:rPr>
        <w:t>L’histoire du dioxygène terrestre</w:t>
      </w:r>
    </w:p>
    <w:p w:rsidR="00BD4DB3" w:rsidRPr="000E2C8B" w:rsidRDefault="00852AD1" w:rsidP="00BD4DB3">
      <w:pPr>
        <w:spacing w:after="240"/>
        <w:rPr>
          <w:i/>
        </w:rPr>
      </w:pPr>
      <w:r w:rsidRPr="00D74F67">
        <w:rPr>
          <w:i/>
        </w:rPr>
        <w:t>Sur 10 points</w:t>
      </w:r>
    </w:p>
    <w:p w:rsidR="00B845D1" w:rsidRDefault="00852AD1" w:rsidP="00105617">
      <w:pPr>
        <w:spacing w:after="120"/>
        <w:jc w:val="both"/>
        <w:rPr>
          <w:rFonts w:cs="Arial"/>
        </w:rPr>
      </w:pPr>
      <w:r>
        <w:rPr>
          <w:rFonts w:cs="Arial"/>
        </w:rPr>
        <w:t xml:space="preserve">L’atmosphère </w:t>
      </w:r>
      <w:r>
        <w:rPr>
          <w:rFonts w:cs="Arial"/>
        </w:rPr>
        <w:t>primitive de la Terre, issue du dégazage au cours du refroidissement de la Terre, était très différente de l’atmosphère actuelle. La transformation de l’atmosphère au cours du temps est marquée en particulier par un fort enrichissement en dioxygène, ce qui</w:t>
      </w:r>
      <w:r>
        <w:rPr>
          <w:rFonts w:cs="Arial"/>
        </w:rPr>
        <w:t xml:space="preserve"> lui a conféré un caractère oxydant.</w:t>
      </w:r>
      <w:r>
        <w:rPr>
          <w:rFonts w:cs="Arial"/>
        </w:rPr>
        <w:t xml:space="preserve"> </w:t>
      </w:r>
      <w:r>
        <w:rPr>
          <w:rFonts w:cs="Arial"/>
        </w:rPr>
        <w:t xml:space="preserve"> </w:t>
      </w:r>
    </w:p>
    <w:p w:rsidR="00B845D1" w:rsidRDefault="00852AD1" w:rsidP="00105617">
      <w:pPr>
        <w:spacing w:after="360"/>
        <w:jc w:val="both"/>
        <w:rPr>
          <w:rFonts w:cs="Arial"/>
        </w:rPr>
      </w:pPr>
      <w:r>
        <w:rPr>
          <w:rFonts w:cs="Arial"/>
        </w:rPr>
        <w:t>L’objectif de cet exercice est de rechercher des arguments expliquant l’enrichissement de l’atmosphère en dioxygène, il y a 2,4 milliards d’années.</w:t>
      </w:r>
    </w:p>
    <w:tbl>
      <w:tblPr>
        <w:tblStyle w:val="Grilledutableau"/>
        <w:tblW w:w="0" w:type="auto"/>
        <w:jc w:val="center"/>
        <w:tblLook w:val="04A0" w:firstRow="1" w:lastRow="0" w:firstColumn="1" w:lastColumn="0" w:noHBand="0" w:noVBand="1"/>
      </w:tblPr>
      <w:tblGrid>
        <w:gridCol w:w="8924"/>
      </w:tblGrid>
      <w:tr w:rsidR="00B845D1" w:rsidTr="006C5A85">
        <w:trPr>
          <w:jc w:val="center"/>
        </w:trPr>
        <w:tc>
          <w:tcPr>
            <w:tcW w:w="8924" w:type="dxa"/>
          </w:tcPr>
          <w:p w:rsidR="00B845D1" w:rsidRPr="007B0B1F" w:rsidRDefault="00852AD1" w:rsidP="00105617">
            <w:pPr>
              <w:spacing w:before="120" w:after="120"/>
              <w:jc w:val="both"/>
              <w:rPr>
                <w:rFonts w:cs="Arial"/>
                <w:b/>
              </w:rPr>
            </w:pPr>
            <w:r w:rsidRPr="007B0B1F">
              <w:rPr>
                <w:rFonts w:cs="Arial"/>
                <w:b/>
                <w:u w:val="single"/>
              </w:rPr>
              <w:t>Document 1</w:t>
            </w:r>
            <w:r w:rsidRPr="007B0B1F">
              <w:rPr>
                <w:rFonts w:cs="Arial"/>
                <w:b/>
              </w:rPr>
              <w:t xml:space="preserve"> : </w:t>
            </w:r>
            <w:r>
              <w:rPr>
                <w:rFonts w:cs="Arial"/>
                <w:b/>
              </w:rPr>
              <w:t>m</w:t>
            </w:r>
            <w:r w:rsidRPr="007B0B1F">
              <w:rPr>
                <w:rFonts w:cs="Arial"/>
                <w:b/>
              </w:rPr>
              <w:t>étabolisme des cyanobactéries actuelles</w:t>
            </w:r>
          </w:p>
          <w:p w:rsidR="00B845D1" w:rsidRDefault="00852AD1" w:rsidP="00105617">
            <w:pPr>
              <w:jc w:val="both"/>
              <w:rPr>
                <w:rFonts w:cs="Arial"/>
              </w:rPr>
            </w:pPr>
            <w:r>
              <w:rPr>
                <w:rFonts w:cs="Arial"/>
              </w:rPr>
              <w:t xml:space="preserve">Une culture de </w:t>
            </w:r>
            <w:r>
              <w:rPr>
                <w:rFonts w:cs="Arial"/>
              </w:rPr>
              <w:t>cyanobactéries est placée dans une enceinte hermétique. Les teneurs en dioxygène et</w:t>
            </w:r>
            <w:r>
              <w:rPr>
                <w:rFonts w:cs="Arial"/>
                <w:highlight w:val="white"/>
              </w:rPr>
              <w:t xml:space="preserve"> en</w:t>
            </w:r>
            <w:r>
              <w:rPr>
                <w:rFonts w:cs="Arial"/>
              </w:rPr>
              <w:t xml:space="preserve"> dioxyde de carbone sont relevées </w:t>
            </w:r>
            <w:r>
              <w:rPr>
                <w:rFonts w:cs="Arial"/>
                <w:highlight w:val="white"/>
                <w:shd w:val="clear" w:color="auto" w:fill="FFFFFF" w:themeFill="background1"/>
              </w:rPr>
              <w:t>sous différentes</w:t>
            </w:r>
            <w:r>
              <w:rPr>
                <w:rFonts w:cs="Arial"/>
              </w:rPr>
              <w:t xml:space="preserve"> conditions d’éclairement. Les résultats sont présentés </w:t>
            </w:r>
            <w:r>
              <w:rPr>
                <w:rFonts w:cs="Arial"/>
                <w:highlight w:val="white"/>
              </w:rPr>
              <w:t>sur</w:t>
            </w:r>
            <w:r>
              <w:rPr>
                <w:rFonts w:cs="Arial"/>
              </w:rPr>
              <w:t xml:space="preserve"> le graphique ci-dessous.</w:t>
            </w:r>
          </w:p>
          <w:p w:rsidR="00B845D1" w:rsidRDefault="00852AD1" w:rsidP="00105617">
            <w:pPr>
              <w:jc w:val="both"/>
              <w:rPr>
                <w:rFonts w:eastAsia="Times New Roman" w:cs="Arial"/>
                <w:u w:val="single"/>
              </w:rPr>
            </w:pPr>
            <w:r>
              <w:rPr>
                <w:rFonts w:eastAsia="Times New Roman" w:cs="Arial"/>
                <w:u w:val="single"/>
              </w:rPr>
              <w:t>Évolution des teneurs en</w:t>
            </w:r>
            <w:r>
              <w:rPr>
                <w:rFonts w:eastAsia="Times New Roman" w:cs="Arial"/>
                <w:u w:val="single"/>
              </w:rPr>
              <w:t xml:space="preserve"> dioxygène et dioxyde de carbone de la culture de cyanobactéries</w:t>
            </w:r>
          </w:p>
          <w:p w:rsidR="00B845D1" w:rsidRDefault="00852AD1" w:rsidP="00105617">
            <w:pPr>
              <w:jc w:val="both"/>
              <w:rPr>
                <w:rFonts w:cs="Arial"/>
              </w:rPr>
            </w:pPr>
            <w:r>
              <w:rPr>
                <w:noProof/>
              </w:rPr>
              <w:drawing>
                <wp:inline distT="0" distB="0" distL="0" distR="0" wp14:anchorId="443901EB" wp14:editId="543552E6">
                  <wp:extent cx="5125720" cy="2543175"/>
                  <wp:effectExtent l="0" t="0" r="5080" b="0"/>
                  <wp:docPr id="1"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pic:cNvPicPr>
                        </pic:nvPicPr>
                        <pic:blipFill>
                          <a:blip r:embed="rId10">
                            <a:extLst>
                              <a:ext uri="{BEBA8EAE-BF5A-486C-A8C5-ECC9F3942E4B}">
                                <a14:imgProps xmlns:a14="http://schemas.microsoft.com/office/drawing/2010/main">
                                  <a14:imgLayer>
                                    <a14:imgEffect>
                                      <a14:sharpenSoften amount="50000"/>
                                    </a14:imgEffect>
                                  </a14:imgLayer>
                                </a14:imgProps>
                              </a:ext>
                              <a:ext uri="{28A0092B-C50C-407E-A947-70E740481C1C}">
                                <a14:useLocalDpi xmlns:a14="http://schemas.microsoft.com/office/drawing/2010/main" val="0"/>
                              </a:ext>
                            </a:extLst>
                          </a:blip>
                          <a:stretch/>
                        </pic:blipFill>
                        <pic:spPr bwMode="auto">
                          <a:xfrm>
                            <a:off x="0" y="0"/>
                            <a:ext cx="5125720" cy="2543175"/>
                          </a:xfrm>
                          <a:prstGeom prst="rect">
                            <a:avLst/>
                          </a:prstGeom>
                          <a:noFill/>
                          <a:ln>
                            <a:noFill/>
                          </a:ln>
                        </pic:spPr>
                      </pic:pic>
                    </a:graphicData>
                  </a:graphic>
                </wp:inline>
              </w:drawing>
            </w:r>
          </w:p>
        </w:tc>
      </w:tr>
    </w:tbl>
    <w:p w:rsidR="006C5A85" w:rsidRDefault="00852AD1" w:rsidP="00105617">
      <w:pPr>
        <w:spacing w:after="120"/>
        <w:rPr>
          <w:u w:val="single"/>
        </w:rPr>
      </w:pPr>
    </w:p>
    <w:p w:rsidR="006C5A85" w:rsidRDefault="00852AD1">
      <w:pPr>
        <w:spacing w:after="0" w:line="240" w:lineRule="auto"/>
        <w:rPr>
          <w:u w:val="single"/>
        </w:rPr>
      </w:pPr>
      <w:r>
        <w:rPr>
          <w:u w:val="single"/>
        </w:rPr>
        <w:br w:type="page"/>
      </w:r>
    </w:p>
    <w:p w:rsidR="00E92982" w:rsidRDefault="00852AD1" w:rsidP="00105617">
      <w:pPr>
        <w:spacing w:after="120"/>
      </w:pPr>
      <w:r>
        <w:rPr>
          <w:u w:val="single"/>
        </w:rPr>
        <w:lastRenderedPageBreak/>
        <w:t>Données</w:t>
      </w:r>
      <w:r>
        <w:t> :</w:t>
      </w:r>
    </w:p>
    <w:p w:rsidR="00E92982" w:rsidRDefault="00852AD1" w:rsidP="00105617">
      <w:pPr>
        <w:spacing w:after="120"/>
      </w:pPr>
      <w:r>
        <w:t>Il existe différents types de métabolismes, notamment :</w:t>
      </w:r>
    </w:p>
    <w:p w:rsidR="00E92982" w:rsidRDefault="00852AD1" w:rsidP="00105617">
      <w:pPr>
        <w:spacing w:after="60"/>
        <w:ind w:firstLine="285"/>
      </w:pPr>
      <w:r>
        <w:t xml:space="preserve">• La respiration : </w:t>
      </w:r>
      <m:oMath>
        <m:r>
          <m:rPr>
            <m:sty m:val="p"/>
          </m:rPr>
          <w:rPr>
            <w:rFonts w:ascii="Cambria Math" w:hAnsi="Cambria Math"/>
          </w:rPr>
          <m:t xml:space="preserve">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vertAlign w:val="subscript"/>
              </w:rPr>
            </m:ctrlPr>
          </m:sSubPr>
          <m:e>
            <m:r>
              <m:rPr>
                <m:sty m:val="p"/>
              </m:rPr>
              <w:rPr>
                <w:rFonts w:ascii="Cambria Math" w:hAnsi="Cambria Math"/>
              </w:rPr>
              <m:t>CO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O</m:t>
        </m:r>
      </m:oMath>
    </w:p>
    <w:p w:rsidR="00E92982" w:rsidRDefault="00852AD1" w:rsidP="00105617">
      <w:pPr>
        <w:spacing w:after="60"/>
        <w:ind w:firstLine="285"/>
      </w:pPr>
      <w:r>
        <w:t xml:space="preserve">• La photosynthèse : </w:t>
      </w:r>
      <m:oMath>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xml:space="preserve"> + </m:t>
        </m:r>
        <m:sSub>
          <m:sSubPr>
            <m:ctrlPr>
              <w:rPr>
                <w:rFonts w:ascii="Cambria Math" w:hAnsi="Cambria Math"/>
              </w:rPr>
            </m:ctrlPr>
          </m:sSubPr>
          <m:e>
            <m:r>
              <m:rPr>
                <m:sty m:val="p"/>
              </m:rPr>
              <w:rPr>
                <w:rFonts w:ascii="Cambria Math" w:hAnsi="Cambria Math"/>
              </w:rPr>
              <m:t>H</m:t>
            </m:r>
          </m:e>
          <m:sub>
            <m:r>
              <m:rPr>
                <m:sty m:val="p"/>
              </m:rPr>
              <w:rPr>
                <w:rFonts w:ascii="Cambria Math" w:hAnsi="Cambria Math"/>
                <w:vertAlign w:val="subscript"/>
              </w:rPr>
              <m:t>2</m:t>
            </m:r>
          </m:sub>
        </m:sSub>
        <m:r>
          <m:rPr>
            <m:sty m:val="p"/>
          </m:rPr>
          <w:rPr>
            <w:rFonts w:ascii="Cambria Math" w:hAnsi="Cambria Math"/>
          </w:rPr>
          <m:t xml:space="preserve">O en présence de lumière → sucre + </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oMath>
    </w:p>
    <w:p w:rsidR="00E92982" w:rsidRDefault="00852AD1" w:rsidP="00105617">
      <w:pPr>
        <w:spacing w:after="120"/>
        <w:ind w:firstLine="285"/>
      </w:pPr>
      <w:r>
        <w:t xml:space="preserve">• La fermentation alcoolique : </w:t>
      </w:r>
      <m:oMath>
        <m:r>
          <m:rPr>
            <m:sty m:val="p"/>
          </m:rPr>
          <w:rPr>
            <w:rFonts w:ascii="Cambria Math" w:hAnsi="Cambria Math"/>
          </w:rPr>
          <m:t>sucre → C</m:t>
        </m:r>
        <m:sSub>
          <m:sSubPr>
            <m:ctrlPr>
              <w:rPr>
                <w:rFonts w:ascii="Cambria Math" w:hAnsi="Cambria Math"/>
              </w:rPr>
            </m:ctrlPr>
          </m:sSubPr>
          <m:e>
            <m:r>
              <m:rPr>
                <m:sty m:val="p"/>
              </m:rPr>
              <w:rPr>
                <w:rFonts w:ascii="Cambria Math" w:hAnsi="Cambria Math"/>
              </w:rPr>
              <m:t>O</m:t>
            </m:r>
          </m:e>
          <m:sub>
            <m:r>
              <m:rPr>
                <m:sty m:val="p"/>
              </m:rPr>
              <w:rPr>
                <w:rFonts w:ascii="Cambria Math" w:hAnsi="Cambria Math"/>
                <w:vertAlign w:val="subscript"/>
              </w:rPr>
              <m:t>2</m:t>
            </m:r>
          </m:sub>
        </m:sSub>
        <m:r>
          <m:rPr>
            <m:sty m:val="p"/>
          </m:rPr>
          <w:rPr>
            <w:rFonts w:ascii="Cambria Math" w:hAnsi="Cambria Math"/>
          </w:rPr>
          <m:t>+ éthanol</m:t>
        </m:r>
      </m:oMath>
    </w:p>
    <w:p w:rsidR="00E92982" w:rsidRPr="00E92982" w:rsidRDefault="00852AD1" w:rsidP="00105617">
      <w:pPr>
        <w:jc w:val="both"/>
        <w:rPr>
          <w:szCs w:val="21"/>
        </w:rPr>
      </w:pPr>
      <w:r w:rsidRPr="00E92982">
        <w:rPr>
          <w:szCs w:val="21"/>
        </w:rPr>
        <w:t>Les réactions ne sont pas ajustées, elles indiquent seulement la nature des réactifs et des produits.</w:t>
      </w:r>
    </w:p>
    <w:p w:rsidR="007B0B1F" w:rsidRDefault="00852AD1" w:rsidP="00105617">
      <w:pPr>
        <w:spacing w:before="360" w:after="240"/>
        <w:jc w:val="both"/>
      </w:pPr>
      <w:r>
        <w:rPr>
          <w:b/>
        </w:rPr>
        <w:t>1-</w:t>
      </w:r>
      <w:r>
        <w:t xml:space="preserve"> À l’aide du document 1, donner, en le justifiant, le nom du métabolisme utilisé par les cyanobactér</w:t>
      </w:r>
      <w:r>
        <w:t>ies, dans l’expérience, entre 0 et 5 minutes puis entre 5 et 10 minutes.</w:t>
      </w:r>
    </w:p>
    <w:p w:rsidR="00B845D1" w:rsidRDefault="00852AD1" w:rsidP="00105617">
      <w:pPr>
        <w:spacing w:after="360"/>
        <w:jc w:val="both"/>
      </w:pPr>
      <w:r>
        <w:rPr>
          <w:b/>
        </w:rPr>
        <w:t>2-</w:t>
      </w:r>
      <w:r>
        <w:t xml:space="preserve"> Les stromatolithes sont des constructions carbonatées d’origine biologique formées par des micro-organismes, dont les cyanobactéries. Les plus anciens ont été datés à environ 3,5 m</w:t>
      </w:r>
      <w:r>
        <w:t>illiards d’années. À partir du document 1 et des connaissances, justifier l’origine de la production de dioxygène à partir de 3,5 milliards d’années.</w:t>
      </w:r>
    </w:p>
    <w:tbl>
      <w:tblPr>
        <w:tblStyle w:val="Grilledutableau"/>
        <w:tblW w:w="0" w:type="auto"/>
        <w:jc w:val="center"/>
        <w:tblLook w:val="04A0" w:firstRow="1" w:lastRow="0" w:firstColumn="1" w:lastColumn="0" w:noHBand="0" w:noVBand="1"/>
      </w:tblPr>
      <w:tblGrid>
        <w:gridCol w:w="9060"/>
      </w:tblGrid>
      <w:tr w:rsidR="00B845D1" w:rsidTr="00105617">
        <w:trPr>
          <w:trHeight w:val="5595"/>
          <w:jc w:val="center"/>
        </w:trPr>
        <w:tc>
          <w:tcPr>
            <w:tcW w:w="9060" w:type="dxa"/>
          </w:tcPr>
          <w:p w:rsidR="00B845D1" w:rsidRPr="00DF7FF2" w:rsidRDefault="00852AD1" w:rsidP="00105617">
            <w:pPr>
              <w:spacing w:before="120" w:after="120"/>
              <w:jc w:val="both"/>
              <w:rPr>
                <w:b/>
              </w:rPr>
            </w:pPr>
            <w:r w:rsidRPr="00DF7FF2">
              <w:rPr>
                <w:b/>
                <w:u w:val="single"/>
              </w:rPr>
              <w:t>Document 2</w:t>
            </w:r>
            <w:r w:rsidRPr="00DF7FF2">
              <w:rPr>
                <w:b/>
              </w:rPr>
              <w:t xml:space="preserve"> : les </w:t>
            </w:r>
            <w:r>
              <w:rPr>
                <w:b/>
              </w:rPr>
              <w:t>f</w:t>
            </w:r>
            <w:r w:rsidRPr="00DF7FF2">
              <w:rPr>
                <w:b/>
              </w:rPr>
              <w:t>ormations sédimentaires d’oxydes de fer</w:t>
            </w:r>
          </w:p>
          <w:p w:rsidR="00B845D1" w:rsidRDefault="00852AD1" w:rsidP="00105617">
            <w:pPr>
              <w:spacing w:after="120"/>
              <w:jc w:val="both"/>
            </w:pPr>
            <w:r>
              <w:t xml:space="preserve">La grande majorité des minerais de fer du monde </w:t>
            </w:r>
            <w:r>
              <w:t>est constituée de ce qu'on appelle des fers rubanés (</w:t>
            </w:r>
            <w:r>
              <w:rPr>
                <w:i/>
                <w:iCs/>
              </w:rPr>
              <w:t>Banded Iron Formation</w:t>
            </w:r>
            <w:r>
              <w:t xml:space="preserve"> ou BIF, en anglais). Ces BIF existent sous plusieurs formes, plus ou moins ferrugineuses, et contiennent un oxyde de fer composé de deux atomes de fer et de trois atomes d’oxygène.</w:t>
            </w:r>
          </w:p>
          <w:p w:rsidR="00B845D1" w:rsidRDefault="00852AD1" w:rsidP="00105617">
            <w:pPr>
              <w:pStyle w:val="NormalWeb"/>
              <w:spacing w:before="0" w:beforeAutospacing="0" w:after="120" w:afterAutospacing="0"/>
              <w:rPr>
                <w:rFonts w:ascii="Arial" w:hAnsi="Arial" w:cs="Arial"/>
              </w:rPr>
            </w:pPr>
            <w:r>
              <w:rPr>
                <w:rFonts w:ascii="Arial" w:hAnsi="Arial" w:cs="Arial"/>
              </w:rPr>
              <w:t xml:space="preserve">Le tableau </w:t>
            </w:r>
            <w:r>
              <w:rPr>
                <w:rFonts w:ascii="Arial" w:hAnsi="Arial" w:cs="Arial"/>
                <w:highlight w:val="white"/>
              </w:rPr>
              <w:t>ci-dessous</w:t>
            </w:r>
            <w:r>
              <w:rPr>
                <w:rFonts w:ascii="Arial" w:hAnsi="Arial" w:cs="Arial"/>
              </w:rPr>
              <w:t xml:space="preserve"> présente différents oxydes de fer :</w:t>
            </w:r>
          </w:p>
          <w:tbl>
            <w:tblPr>
              <w:tblStyle w:val="Grilledutableau"/>
              <w:tblW w:w="0" w:type="auto"/>
              <w:jc w:val="center"/>
              <w:tblLook w:val="04A0" w:firstRow="1" w:lastRow="0" w:firstColumn="1" w:lastColumn="0" w:noHBand="0" w:noVBand="1"/>
            </w:tblPr>
            <w:tblGrid>
              <w:gridCol w:w="1303"/>
              <w:gridCol w:w="1701"/>
              <w:gridCol w:w="1984"/>
              <w:gridCol w:w="2693"/>
            </w:tblGrid>
            <w:tr w:rsidR="00B845D1" w:rsidTr="00E92982">
              <w:trPr>
                <w:jc w:val="center"/>
              </w:trPr>
              <w:tc>
                <w:tcPr>
                  <w:tcW w:w="1303" w:type="dxa"/>
                  <w:vAlign w:val="center"/>
                </w:tcPr>
                <w:p w:rsidR="00B845D1" w:rsidRDefault="00852AD1" w:rsidP="00105617">
                  <w:pPr>
                    <w:spacing w:before="60" w:after="60"/>
                    <w:jc w:val="center"/>
                  </w:pPr>
                  <w:r>
                    <w:t>Oxyde de fer</w:t>
                  </w:r>
                </w:p>
              </w:tc>
              <w:tc>
                <w:tcPr>
                  <w:tcW w:w="1701" w:type="dxa"/>
                  <w:vAlign w:val="center"/>
                </w:tcPr>
                <w:p w:rsidR="00B845D1" w:rsidRDefault="00852AD1" w:rsidP="00105617">
                  <w:pPr>
                    <w:spacing w:before="60" w:after="60"/>
                    <w:jc w:val="center"/>
                  </w:pPr>
                  <w:r>
                    <w:t>Formule brute</w:t>
                  </w:r>
                </w:p>
              </w:tc>
              <w:tc>
                <w:tcPr>
                  <w:tcW w:w="1984" w:type="dxa"/>
                  <w:vAlign w:val="center"/>
                </w:tcPr>
                <w:p w:rsidR="00B845D1" w:rsidRDefault="00852AD1" w:rsidP="00105617">
                  <w:pPr>
                    <w:spacing w:before="60" w:after="60"/>
                    <w:jc w:val="center"/>
                  </w:pPr>
                  <w:r>
                    <w:t>Description</w:t>
                  </w:r>
                </w:p>
              </w:tc>
              <w:tc>
                <w:tcPr>
                  <w:tcW w:w="2693" w:type="dxa"/>
                  <w:vAlign w:val="center"/>
                </w:tcPr>
                <w:p w:rsidR="00B845D1" w:rsidRDefault="00852AD1" w:rsidP="00105617">
                  <w:pPr>
                    <w:spacing w:before="60" w:after="60"/>
                    <w:jc w:val="center"/>
                  </w:pPr>
                  <w:r>
                    <w:t xml:space="preserve">Équation chimique de formation </w:t>
                  </w:r>
                  <w:r>
                    <w:rPr>
                      <w:highlight w:val="white"/>
                    </w:rPr>
                    <w:t>de l’oxyde de fer</w:t>
                  </w:r>
                  <w:r>
                    <w:t>, non ajustée</w:t>
                  </w:r>
                </w:p>
              </w:tc>
            </w:tr>
            <w:tr w:rsidR="00B845D1" w:rsidTr="0056151C">
              <w:trPr>
                <w:trHeight w:val="678"/>
                <w:jc w:val="center"/>
              </w:trPr>
              <w:tc>
                <w:tcPr>
                  <w:tcW w:w="1303" w:type="dxa"/>
                  <w:vAlign w:val="center"/>
                </w:tcPr>
                <w:p w:rsidR="00B845D1" w:rsidRDefault="00852AD1" w:rsidP="00105617">
                  <w:pPr>
                    <w:spacing w:before="60" w:after="60"/>
                    <w:jc w:val="center"/>
                  </w:pPr>
                  <w:r>
                    <w:t>Wustite</w:t>
                  </w:r>
                </w:p>
              </w:tc>
              <w:tc>
                <w:tcPr>
                  <w:tcW w:w="1701" w:type="dxa"/>
                  <w:vAlign w:val="center"/>
                </w:tcPr>
                <w:p w:rsidR="00B845D1" w:rsidRPr="00B47979" w:rsidRDefault="00852AD1" w:rsidP="00105617">
                  <w:pPr>
                    <w:spacing w:before="60" w:after="60"/>
                    <w:jc w:val="center"/>
                  </w:pPr>
                  <m:oMathPara>
                    <m:oMath>
                      <m:r>
                        <m:rPr>
                          <m:sty m:val="p"/>
                        </m:rPr>
                        <w:rPr>
                          <w:rFonts w:ascii="Cambria Math" w:hAnsi="Cambria Math" w:cs="Calibri"/>
                        </w:rPr>
                        <m:t>FeO</m:t>
                      </m:r>
                    </m:oMath>
                  </m:oMathPara>
                </w:p>
              </w:tc>
              <w:tc>
                <w:tcPr>
                  <w:tcW w:w="1984" w:type="dxa"/>
                  <w:vAlign w:val="center"/>
                </w:tcPr>
                <w:p w:rsidR="00B845D1" w:rsidRDefault="00852AD1" w:rsidP="00105617">
                  <w:pPr>
                    <w:spacing w:before="60" w:after="60"/>
                    <w:jc w:val="center"/>
                  </w:pPr>
                  <w:r>
                    <w:t>Poudre grise</w:t>
                  </w:r>
                </w:p>
              </w:tc>
              <w:tc>
                <w:tcPr>
                  <w:tcW w:w="2693" w:type="dxa"/>
                  <w:vAlign w:val="center"/>
                </w:tcPr>
                <w:p w:rsidR="00B845D1" w:rsidRPr="00B47979" w:rsidRDefault="00852AD1"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→FeO</m:t>
                      </m:r>
                    </m:oMath>
                  </m:oMathPara>
                </w:p>
              </w:tc>
            </w:tr>
            <w:tr w:rsidR="00B845D1" w:rsidTr="00E92982">
              <w:trPr>
                <w:jc w:val="center"/>
              </w:trPr>
              <w:tc>
                <w:tcPr>
                  <w:tcW w:w="1303" w:type="dxa"/>
                  <w:tcBorders>
                    <w:bottom w:val="single" w:sz="4" w:space="0" w:color="auto"/>
                  </w:tcBorders>
                  <w:vAlign w:val="center"/>
                </w:tcPr>
                <w:p w:rsidR="00B845D1" w:rsidRDefault="00852AD1" w:rsidP="00105617">
                  <w:pPr>
                    <w:spacing w:before="60" w:after="60"/>
                    <w:jc w:val="center"/>
                  </w:pPr>
                  <w:r>
                    <w:t>Hématite</w:t>
                  </w:r>
                </w:p>
              </w:tc>
              <w:tc>
                <w:tcPr>
                  <w:tcW w:w="1701" w:type="dxa"/>
                  <w:tcBorders>
                    <w:bottom w:val="single" w:sz="4" w:space="0" w:color="auto"/>
                  </w:tcBorders>
                  <w:vAlign w:val="center"/>
                </w:tcPr>
                <w:p w:rsidR="00B845D1" w:rsidRPr="00B47979" w:rsidRDefault="00852AD1"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c>
                <w:tcPr>
                  <w:tcW w:w="1984" w:type="dxa"/>
                  <w:tcBorders>
                    <w:bottom w:val="single" w:sz="4" w:space="0" w:color="auto"/>
                  </w:tcBorders>
                  <w:vAlign w:val="center"/>
                </w:tcPr>
                <w:p w:rsidR="00B845D1" w:rsidRDefault="00852AD1" w:rsidP="00105617">
                  <w:pPr>
                    <w:spacing w:before="60" w:after="60"/>
                    <w:jc w:val="center"/>
                  </w:pPr>
                  <w:r>
                    <w:t>Minéral de couleur rouille</w:t>
                  </w:r>
                </w:p>
              </w:tc>
              <w:tc>
                <w:tcPr>
                  <w:tcW w:w="2693" w:type="dxa"/>
                  <w:tcBorders>
                    <w:bottom w:val="single" w:sz="4" w:space="0" w:color="auto"/>
                  </w:tcBorders>
                  <w:vAlign w:val="center"/>
                </w:tcPr>
                <w:p w:rsidR="00B845D1" w:rsidRPr="00B47979" w:rsidRDefault="00852AD1"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rPr>
                            <m:t>2</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rPr>
                            <m:t>3</m:t>
                          </m:r>
                        </m:sub>
                      </m:sSub>
                    </m:oMath>
                  </m:oMathPara>
                </w:p>
              </w:tc>
            </w:tr>
            <w:tr w:rsidR="00B845D1" w:rsidTr="00E92982">
              <w:trPr>
                <w:jc w:val="center"/>
              </w:trPr>
              <w:tc>
                <w:tcPr>
                  <w:tcW w:w="1303" w:type="dxa"/>
                  <w:tcBorders>
                    <w:top w:val="single" w:sz="4" w:space="0" w:color="auto"/>
                    <w:left w:val="single" w:sz="4" w:space="0" w:color="auto"/>
                    <w:bottom w:val="single" w:sz="4" w:space="0" w:color="auto"/>
                    <w:right w:val="single" w:sz="4" w:space="0" w:color="auto"/>
                  </w:tcBorders>
                  <w:vAlign w:val="center"/>
                </w:tcPr>
                <w:p w:rsidR="00B845D1" w:rsidRDefault="00852AD1" w:rsidP="00105617">
                  <w:pPr>
                    <w:spacing w:before="60" w:after="60"/>
                    <w:jc w:val="center"/>
                  </w:pPr>
                  <w:r>
                    <w:t>Magnétite</w:t>
                  </w:r>
                </w:p>
              </w:tc>
              <w:tc>
                <w:tcPr>
                  <w:tcW w:w="1701" w:type="dxa"/>
                  <w:tcBorders>
                    <w:top w:val="single" w:sz="4" w:space="0" w:color="auto"/>
                    <w:left w:val="single" w:sz="4" w:space="0" w:color="auto"/>
                    <w:bottom w:val="single" w:sz="4" w:space="0" w:color="auto"/>
                    <w:right w:val="single" w:sz="4" w:space="0" w:color="auto"/>
                  </w:tcBorders>
                  <w:vAlign w:val="center"/>
                </w:tcPr>
                <w:p w:rsidR="00B845D1" w:rsidRPr="00B47979" w:rsidRDefault="00852AD1" w:rsidP="00105617">
                  <w:pPr>
                    <w:spacing w:before="60" w:after="60"/>
                    <w:jc w:val="center"/>
                    <w:rPr>
                      <w:vertAlign w:val="subscript"/>
                    </w:rPr>
                  </w:pPr>
                  <m:oMathPara>
                    <m:oMath>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c>
                <w:tcPr>
                  <w:tcW w:w="1984" w:type="dxa"/>
                  <w:tcBorders>
                    <w:top w:val="single" w:sz="4" w:space="0" w:color="auto"/>
                    <w:left w:val="single" w:sz="4" w:space="0" w:color="auto"/>
                    <w:bottom w:val="single" w:sz="4" w:space="0" w:color="auto"/>
                    <w:right w:val="single" w:sz="4" w:space="0" w:color="auto"/>
                  </w:tcBorders>
                  <w:vAlign w:val="center"/>
                </w:tcPr>
                <w:p w:rsidR="00B845D1" w:rsidRDefault="00852AD1" w:rsidP="00105617">
                  <w:pPr>
                    <w:spacing w:before="60" w:after="60"/>
                    <w:jc w:val="center"/>
                  </w:pPr>
                  <w:r>
                    <w:t>Minéral de couleur noire</w:t>
                  </w:r>
                </w:p>
              </w:tc>
              <w:tc>
                <w:tcPr>
                  <w:tcW w:w="2693" w:type="dxa"/>
                  <w:tcBorders>
                    <w:top w:val="single" w:sz="4" w:space="0" w:color="auto"/>
                    <w:left w:val="single" w:sz="4" w:space="0" w:color="auto"/>
                    <w:bottom w:val="single" w:sz="4" w:space="0" w:color="auto"/>
                    <w:right w:val="single" w:sz="4" w:space="0" w:color="auto"/>
                  </w:tcBorders>
                  <w:vAlign w:val="center"/>
                </w:tcPr>
                <w:p w:rsidR="00B845D1" w:rsidRPr="00B47979" w:rsidRDefault="00852AD1" w:rsidP="00105617">
                  <w:pPr>
                    <w:spacing w:before="60" w:after="60"/>
                    <w:jc w:val="center"/>
                  </w:pPr>
                  <m:oMathPara>
                    <m:oMath>
                      <m:r>
                        <m:rPr>
                          <m:sty m:val="p"/>
                        </m:rPr>
                        <w:rPr>
                          <w:rFonts w:ascii="Cambria Math" w:hAnsi="Cambria Math" w:cs="Calibri"/>
                        </w:rPr>
                        <m:t xml:space="preserve">Fe + </m:t>
                      </m:r>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2</m:t>
                          </m:r>
                        </m:sub>
                      </m:sSub>
                      <m:r>
                        <m:rPr>
                          <m:sty m:val="p"/>
                        </m:rPr>
                        <w:rPr>
                          <w:rFonts w:ascii="Cambria Math" w:hAnsi="Cambria Math" w:cs="Calibri"/>
                        </w:rPr>
                        <m:t xml:space="preserve"> →</m:t>
                      </m:r>
                      <m:sSub>
                        <m:sSubPr>
                          <m:ctrlPr>
                            <w:rPr>
                              <w:rFonts w:ascii="Cambria Math" w:hAnsi="Cambria Math" w:cs="Calibri"/>
                            </w:rPr>
                          </m:ctrlPr>
                        </m:sSubPr>
                        <m:e>
                          <m:r>
                            <m:rPr>
                              <m:sty m:val="p"/>
                            </m:rPr>
                            <w:rPr>
                              <w:rFonts w:ascii="Cambria Math" w:hAnsi="Cambria Math" w:cs="Calibri"/>
                            </w:rPr>
                            <m:t>Fe</m:t>
                          </m:r>
                        </m:e>
                        <m:sub>
                          <m:r>
                            <m:rPr>
                              <m:sty m:val="p"/>
                            </m:rPr>
                            <w:rPr>
                              <w:rFonts w:ascii="Cambria Math" w:hAnsi="Cambria Math" w:cs="Calibri"/>
                              <w:vertAlign w:val="subscript"/>
                            </w:rPr>
                            <m:t>3</m:t>
                          </m:r>
                        </m:sub>
                      </m:sSub>
                      <m:sSub>
                        <m:sSubPr>
                          <m:ctrlPr>
                            <w:rPr>
                              <w:rFonts w:ascii="Cambria Math" w:hAnsi="Cambria Math" w:cs="Calibri"/>
                            </w:rPr>
                          </m:ctrlPr>
                        </m:sSubPr>
                        <m:e>
                          <m:r>
                            <m:rPr>
                              <m:sty m:val="p"/>
                            </m:rPr>
                            <w:rPr>
                              <w:rFonts w:ascii="Cambria Math" w:hAnsi="Cambria Math" w:cs="Calibri"/>
                            </w:rPr>
                            <m:t>O</m:t>
                          </m:r>
                        </m:e>
                        <m:sub>
                          <m:r>
                            <m:rPr>
                              <m:sty m:val="p"/>
                            </m:rPr>
                            <w:rPr>
                              <w:rFonts w:ascii="Cambria Math" w:hAnsi="Cambria Math" w:cs="Calibri"/>
                              <w:vertAlign w:val="subscript"/>
                            </w:rPr>
                            <m:t>4</m:t>
                          </m:r>
                        </m:sub>
                      </m:sSub>
                    </m:oMath>
                  </m:oMathPara>
                </w:p>
              </w:tc>
            </w:tr>
          </w:tbl>
          <w:p w:rsidR="00B845D1" w:rsidRDefault="00852AD1" w:rsidP="00105617">
            <w:pPr>
              <w:jc w:val="both"/>
            </w:pPr>
          </w:p>
        </w:tc>
      </w:tr>
    </w:tbl>
    <w:p w:rsidR="00B845D1" w:rsidRDefault="00852AD1" w:rsidP="006C5A85">
      <w:pPr>
        <w:spacing w:before="360" w:after="360"/>
        <w:jc w:val="both"/>
      </w:pPr>
      <w:r>
        <w:rPr>
          <w:b/>
        </w:rPr>
        <w:t>3-</w:t>
      </w:r>
      <w:r>
        <w:t xml:space="preserve"> Justifier que l’oxyde de fer majoritaire présent dans les BIF correspond à l’hématite et ajuster l’équation chimique de sa formation après l’avoir recopiée sur la copie.</w:t>
      </w:r>
    </w:p>
    <w:tbl>
      <w:tblPr>
        <w:tblStyle w:val="Grilledutableau"/>
        <w:tblW w:w="9067" w:type="dxa"/>
        <w:jc w:val="center"/>
        <w:tblLook w:val="04A0" w:firstRow="1" w:lastRow="0" w:firstColumn="1" w:lastColumn="0" w:noHBand="0" w:noVBand="1"/>
      </w:tblPr>
      <w:tblGrid>
        <w:gridCol w:w="9067"/>
      </w:tblGrid>
      <w:tr w:rsidR="00B845D1" w:rsidTr="0004688F">
        <w:trPr>
          <w:trHeight w:val="6946"/>
          <w:jc w:val="center"/>
        </w:trPr>
        <w:tc>
          <w:tcPr>
            <w:tcW w:w="9067" w:type="dxa"/>
          </w:tcPr>
          <w:p w:rsidR="00B845D1" w:rsidRPr="00DF7FF2" w:rsidRDefault="00852AD1" w:rsidP="0004688F">
            <w:pPr>
              <w:spacing w:after="120"/>
              <w:ind w:left="1585" w:hanging="1705"/>
              <w:jc w:val="both"/>
              <w:rPr>
                <w:rFonts w:cs="Arial"/>
                <w:b/>
              </w:rPr>
            </w:pPr>
            <w:r w:rsidRPr="00DF7FF2">
              <w:rPr>
                <w:b/>
                <w:bCs/>
                <w:noProof/>
              </w:rPr>
              <w:lastRenderedPageBreak/>
              <w:drawing>
                <wp:anchor distT="0" distB="0" distL="114300" distR="114300" simplePos="0" relativeHeight="251661312" behindDoc="1" locked="0" layoutInCell="1" allowOverlap="1" wp14:anchorId="443901ED" wp14:editId="5B754330">
                  <wp:simplePos x="0" y="0"/>
                  <wp:positionH relativeFrom="column">
                    <wp:posOffset>561975</wp:posOffset>
                  </wp:positionH>
                  <wp:positionV relativeFrom="paragraph">
                    <wp:posOffset>427990</wp:posOffset>
                  </wp:positionV>
                  <wp:extent cx="4358005" cy="3279140"/>
                  <wp:effectExtent l="0" t="0" r="4445" b="0"/>
                  <wp:wrapTopAndBottom/>
                  <wp:docPr id="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1">
                            <a:extLst>
                              <a:ext uri="{BEBA8EAE-BF5A-486C-A8C5-ECC9F3942E4B}">
                                <a14:imgProps xmlns:a14="http://schemas.microsoft.com/office/drawing/2010/main">
                                  <a14:imgLayer>
                                    <a14:imgEffect>
                                      <a14:sharpenSoften amount="50000"/>
                                    </a14:imgEffect>
                                    <a14:imgEffect>
                                      <a14:saturation sat="0"/>
                                    </a14:imgEffect>
                                  </a14:imgLayer>
                                </a14:imgProps>
                              </a:ext>
                            </a:extLst>
                          </a:blip>
                          <a:stretch/>
                        </pic:blipFill>
                        <pic:spPr bwMode="auto">
                          <a:xfrm>
                            <a:off x="0" y="0"/>
                            <a:ext cx="4358005" cy="327914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Pr="00DF7FF2">
              <w:rPr>
                <w:rFonts w:cs="Arial"/>
                <w:b/>
                <w:bCs/>
                <w:u w:val="single"/>
              </w:rPr>
              <w:t>Document</w:t>
            </w:r>
            <w:r w:rsidRPr="00DF7FF2">
              <w:rPr>
                <w:rFonts w:cs="Arial"/>
                <w:b/>
                <w:u w:val="single"/>
              </w:rPr>
              <w:t xml:space="preserve"> 3</w:t>
            </w:r>
            <w:r>
              <w:rPr>
                <w:rFonts w:cs="Arial"/>
                <w:b/>
              </w:rPr>
              <w:t> : </w:t>
            </w:r>
            <w:r w:rsidRPr="00DF7FF2">
              <w:rPr>
                <w:rFonts w:cs="Arial"/>
                <w:b/>
              </w:rPr>
              <w:t>é</w:t>
            </w:r>
            <w:r w:rsidRPr="00DF7FF2">
              <w:rPr>
                <w:rFonts w:cs="Arial"/>
                <w:b/>
              </w:rPr>
              <w:t>volution de la formation des paléosols rouges et des fers rubanés au cours du temps</w:t>
            </w:r>
          </w:p>
          <w:p w:rsidR="00B845D1" w:rsidRPr="00DF7FF2" w:rsidRDefault="00852AD1" w:rsidP="00105617">
            <w:pPr>
              <w:spacing w:after="240"/>
              <w:jc w:val="right"/>
              <w:rPr>
                <w:rFonts w:cs="Arial"/>
                <w:sz w:val="20"/>
                <w:szCs w:val="20"/>
              </w:rPr>
            </w:pPr>
            <w:r w:rsidRPr="00DF7FF2">
              <w:rPr>
                <w:sz w:val="20"/>
                <w:szCs w:val="20"/>
              </w:rPr>
              <w:t>D’après C. Klein, Nature, 199</w:t>
            </w:r>
            <w:r w:rsidRPr="00DF7FF2">
              <w:rPr>
                <w:rFonts w:cs="Arial"/>
                <w:sz w:val="20"/>
                <w:szCs w:val="20"/>
              </w:rPr>
              <w:t>7</w:t>
            </w:r>
          </w:p>
          <w:p w:rsidR="00B845D1" w:rsidRDefault="00852AD1" w:rsidP="00105617">
            <w:pPr>
              <w:spacing w:after="120"/>
              <w:jc w:val="both"/>
              <w:rPr>
                <w:rFonts w:cs="Arial"/>
                <w:i/>
              </w:rPr>
            </w:pPr>
            <w:r>
              <w:rPr>
                <w:rFonts w:cs="Arial"/>
                <w:i/>
              </w:rPr>
              <w:t>L’axe des abscisses correspond à l’âge des roches en milliard d’années avant le présent</w:t>
            </w:r>
            <w:r>
              <w:rPr>
                <w:rFonts w:cs="Arial"/>
              </w:rPr>
              <w:t xml:space="preserve">. </w:t>
            </w:r>
            <w:r>
              <w:rPr>
                <w:rFonts w:cs="Arial"/>
                <w:i/>
              </w:rPr>
              <w:t>L’axe des ordonnées correspond à la quantité relativ</w:t>
            </w:r>
            <w:r>
              <w:rPr>
                <w:rFonts w:cs="Arial"/>
                <w:i/>
              </w:rPr>
              <w:t>e des roches formées.</w:t>
            </w:r>
          </w:p>
          <w:p w:rsidR="00DF7FF2" w:rsidRDefault="00852AD1" w:rsidP="00105617">
            <w:pPr>
              <w:spacing w:after="120"/>
              <w:jc w:val="both"/>
              <w:rPr>
                <w:rFonts w:cs="Arial"/>
              </w:rPr>
            </w:pPr>
            <w:r>
              <w:rPr>
                <w:rFonts w:cs="Arial"/>
              </w:rPr>
              <w:t>Les paléosols, ou sols fossiles, se sont formés par altération de roches continentales au contact de l’atmosphère. La couleur rouge de certains de ces sols provient de la forte teneur en hématite. Les fers rubanés sont toujours des fo</w:t>
            </w:r>
            <w:r>
              <w:rPr>
                <w:rFonts w:cs="Arial"/>
              </w:rPr>
              <w:t>rmations sédimentaires marines.</w:t>
            </w:r>
          </w:p>
          <w:p w:rsidR="00DF7FF2" w:rsidRPr="00DF7FF2" w:rsidRDefault="00852AD1" w:rsidP="0004688F">
            <w:pPr>
              <w:spacing w:after="120"/>
              <w:jc w:val="both"/>
              <w:rPr>
                <w:rFonts w:cs="Arial"/>
              </w:rPr>
            </w:pPr>
            <w:r>
              <w:rPr>
                <w:rFonts w:cs="Arial"/>
              </w:rPr>
              <w:t xml:space="preserve">Le volcanisme continental et marin relâchent une quantité importante </w:t>
            </w:r>
            <w:r>
              <w:rPr>
                <w:rFonts w:cs="Arial"/>
                <w:highlight w:val="white"/>
              </w:rPr>
              <w:t>de</w:t>
            </w:r>
            <w:r>
              <w:rPr>
                <w:rFonts w:cs="Arial"/>
              </w:rPr>
              <w:t xml:space="preserve"> fer sous forme d’ions </w:t>
            </w:r>
            <w:r>
              <w:rPr>
                <w:rFonts w:cs="Arial"/>
                <w:highlight w:val="white"/>
              </w:rPr>
              <w:t>Fe</w:t>
            </w:r>
            <w:r>
              <w:rPr>
                <w:rFonts w:cs="Arial"/>
                <w:highlight w:val="white"/>
                <w:vertAlign w:val="superscript"/>
              </w:rPr>
              <w:t>2+</w:t>
            </w:r>
            <w:r>
              <w:rPr>
                <w:rFonts w:cs="Arial"/>
              </w:rPr>
              <w:t xml:space="preserve"> oxydés en </w:t>
            </w:r>
            <w:r>
              <w:rPr>
                <w:rFonts w:cs="Arial"/>
                <w:highlight w:val="white"/>
              </w:rPr>
              <w:t>Fe</w:t>
            </w:r>
            <w:r>
              <w:rPr>
                <w:rFonts w:cs="Arial"/>
                <w:highlight w:val="white"/>
                <w:vertAlign w:val="superscript"/>
              </w:rPr>
              <w:t>3+</w:t>
            </w:r>
            <w:r>
              <w:rPr>
                <w:rFonts w:cs="Arial"/>
              </w:rPr>
              <w:t xml:space="preserve"> par le dioxygène entraînant la formation de l’hématite.</w:t>
            </w:r>
          </w:p>
        </w:tc>
      </w:tr>
    </w:tbl>
    <w:p w:rsidR="00B845D1" w:rsidRDefault="00852AD1" w:rsidP="000310BE">
      <w:pPr>
        <w:spacing w:before="360" w:after="240"/>
        <w:jc w:val="both"/>
      </w:pPr>
      <w:r>
        <w:rPr>
          <w:b/>
        </w:rPr>
        <w:t>4-</w:t>
      </w:r>
      <w:r>
        <w:t xml:space="preserve"> À</w:t>
      </w:r>
      <w:r>
        <w:t xml:space="preserve"> l’aide du document 3, proposer une chronologie d’évènements ayant conduit à la mise en place d’une atmosphère riche en dioxygène.</w:t>
      </w:r>
    </w:p>
    <w:p w:rsidR="00B845D1" w:rsidRDefault="00852AD1" w:rsidP="000310BE">
      <w:pPr>
        <w:spacing w:after="240"/>
        <w:jc w:val="both"/>
      </w:pPr>
      <w:r>
        <w:rPr>
          <w:b/>
        </w:rPr>
        <w:t>5-</w:t>
      </w:r>
      <w:r>
        <w:t xml:space="preserve"> D’après les connaissances, indiquer comment se forme l’ozone (O</w:t>
      </w:r>
      <w:r w:rsidRPr="004F7723">
        <w:rPr>
          <w:vertAlign w:val="subscript"/>
        </w:rPr>
        <w:t>3</w:t>
      </w:r>
      <w:r>
        <w:t>) dans la stratosphère et quel est son rôle sur le dévelop</w:t>
      </w:r>
      <w:r>
        <w:t>pement de la vie terrestre.</w:t>
      </w:r>
      <w:r>
        <w:br w:type="page"/>
      </w:r>
    </w:p>
    <w:p w:rsidR="004A03DE" w:rsidRPr="00A77456" w:rsidRDefault="00852AD1" w:rsidP="004A03DE">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4A03DE" w:rsidRPr="00A77456" w:rsidRDefault="00852AD1" w:rsidP="004A03DE">
      <w:pPr>
        <w:spacing w:after="240"/>
        <w:jc w:val="center"/>
        <w:rPr>
          <w:rFonts w:eastAsia="Arial" w:cs="Arial"/>
          <w:i/>
        </w:rPr>
      </w:pPr>
      <w:r w:rsidRPr="00A77456">
        <w:rPr>
          <w:rFonts w:eastAsia="Arial" w:cs="Arial"/>
          <w:i/>
        </w:rPr>
        <w:t>Thème « </w:t>
      </w:r>
      <w:r>
        <w:rPr>
          <w:rFonts w:eastAsia="Arial" w:cs="Arial"/>
          <w:i/>
        </w:rPr>
        <w:t>Le Soleil, notre source d’énergie »</w:t>
      </w:r>
    </w:p>
    <w:p w:rsidR="004A03DE" w:rsidRPr="00D87AD1" w:rsidRDefault="00852AD1" w:rsidP="004A03DE">
      <w:pPr>
        <w:spacing w:after="120"/>
        <w:rPr>
          <w:b/>
          <w:sz w:val="22"/>
        </w:rPr>
      </w:pPr>
      <w:r>
        <w:rPr>
          <w:b/>
          <w:sz w:val="28"/>
        </w:rPr>
        <w:t>Température moyenne de la surface de la Terre</w:t>
      </w:r>
    </w:p>
    <w:p w:rsidR="004A03DE" w:rsidRPr="00D74F67" w:rsidRDefault="00852AD1" w:rsidP="004A03DE">
      <w:pPr>
        <w:spacing w:after="0"/>
        <w:rPr>
          <w:i/>
        </w:rPr>
      </w:pPr>
      <w:r w:rsidRPr="00D74F67">
        <w:rPr>
          <w:i/>
        </w:rPr>
        <w:t>Sur 10 points</w:t>
      </w:r>
    </w:p>
    <w:p w:rsidR="6CD52E8F" w:rsidRDefault="00852AD1" w:rsidP="6CD52E8F">
      <w:pPr>
        <w:spacing w:after="0"/>
        <w:jc w:val="both"/>
        <w:rPr>
          <w:rFonts w:cs="Arial"/>
        </w:rPr>
      </w:pPr>
    </w:p>
    <w:p w:rsidR="001D6927" w:rsidRDefault="00852AD1" w:rsidP="6CD52E8F">
      <w:pPr>
        <w:spacing w:after="0"/>
        <w:jc w:val="both"/>
        <w:rPr>
          <w:rFonts w:cs="Arial"/>
        </w:rPr>
      </w:pPr>
      <w:r w:rsidRPr="6CD52E8F">
        <w:rPr>
          <w:rFonts w:cs="Arial"/>
        </w:rPr>
        <w:t>La Terre reçoit l’essentiel de son énergie du soleil. Cette énergie conditionne sa</w:t>
      </w:r>
      <w:r w:rsidRPr="6CD52E8F">
        <w:rPr>
          <w:rFonts w:cs="Arial"/>
        </w:rPr>
        <w:t xml:space="preserve"> température de surface.</w:t>
      </w:r>
      <w:r>
        <w:rPr>
          <w:rFonts w:cs="Arial"/>
        </w:rPr>
        <w:t xml:space="preserve"> </w:t>
      </w:r>
    </w:p>
    <w:p w:rsidR="001D6927" w:rsidRDefault="00852AD1">
      <w:pPr>
        <w:spacing w:after="0"/>
        <w:jc w:val="both"/>
        <w:rPr>
          <w:rFonts w:cs="Arial"/>
        </w:rPr>
      </w:pPr>
    </w:p>
    <w:p w:rsidR="00497C3D" w:rsidRDefault="00852AD1" w:rsidP="00497C3D">
      <w:pPr>
        <w:tabs>
          <w:tab w:val="left" w:pos="720"/>
        </w:tabs>
        <w:spacing w:after="0"/>
        <w:jc w:val="both"/>
        <w:rPr>
          <w:rFonts w:eastAsia="Times New Roman" w:cs="Arial"/>
          <w:color w:val="000000"/>
        </w:rPr>
      </w:pPr>
      <w:r>
        <w:rPr>
          <w:rFonts w:eastAsia="Times New Roman" w:cs="Arial"/>
          <w:b/>
          <w:color w:val="000000" w:themeColor="text1"/>
        </w:rPr>
        <w:t>1-</w:t>
      </w:r>
      <w:r>
        <w:rPr>
          <w:rFonts w:eastAsia="Times New Roman" w:cs="Arial"/>
          <w:color w:val="000000" w:themeColor="text1"/>
        </w:rPr>
        <w:t xml:space="preserve"> </w:t>
      </w:r>
      <w:bookmarkStart w:id="1" w:name="_Hlk21442354"/>
      <w:r>
        <w:rPr>
          <w:rFonts w:eastAsia="Arial" w:cs="Arial"/>
          <w:color w:val="000000" w:themeColor="text1"/>
        </w:rPr>
        <w:t>Préciser le phénomène physique à l’origine de l’énergie dégagée par le soleil.</w:t>
      </w:r>
      <w:bookmarkEnd w:id="1"/>
    </w:p>
    <w:p w:rsidR="00497C3D" w:rsidRDefault="00852AD1" w:rsidP="00497C3D">
      <w:pPr>
        <w:tabs>
          <w:tab w:val="left" w:pos="720"/>
        </w:tabs>
        <w:spacing w:after="0"/>
        <w:jc w:val="both"/>
        <w:rPr>
          <w:rFonts w:eastAsia="Arial" w:cs="Arial"/>
          <w:color w:val="000000"/>
        </w:rPr>
      </w:pPr>
    </w:p>
    <w:p w:rsidR="00497C3D" w:rsidRDefault="00852AD1" w:rsidP="004A03DE">
      <w:pPr>
        <w:tabs>
          <w:tab w:val="left" w:pos="720"/>
        </w:tabs>
        <w:spacing w:after="120"/>
        <w:jc w:val="both"/>
        <w:rPr>
          <w:rFonts w:cs="Arial"/>
          <w:color w:val="000000"/>
        </w:rPr>
      </w:pPr>
      <w:r>
        <w:rPr>
          <w:rFonts w:eastAsia="Arial" w:cs="Arial"/>
          <w:b/>
          <w:color w:val="000000" w:themeColor="text1"/>
        </w:rPr>
        <w:t>2-</w:t>
      </w:r>
      <w:r>
        <w:rPr>
          <w:rFonts w:eastAsia="Arial" w:cs="Arial"/>
          <w:color w:val="000000" w:themeColor="text1"/>
        </w:rPr>
        <w:t xml:space="preserve"> Calculer la masse solaire transformée chaque seconde en énergie, sachant que la puissance rayonnée par le soleil a pour valeur 3,9×10</w:t>
      </w:r>
      <w:r>
        <w:rPr>
          <w:rFonts w:eastAsia="Arial" w:cs="Arial"/>
          <w:color w:val="000000" w:themeColor="text1"/>
          <w:vertAlign w:val="superscript"/>
        </w:rPr>
        <w:t xml:space="preserve">26 </w:t>
      </w:r>
      <w:r>
        <w:rPr>
          <w:rFonts w:eastAsia="Arial" w:cs="Arial"/>
          <w:color w:val="000000" w:themeColor="text1"/>
        </w:rPr>
        <w:t>W.</w:t>
      </w:r>
    </w:p>
    <w:p w:rsidR="00497C3D" w:rsidRDefault="00852AD1" w:rsidP="004A03DE">
      <w:pPr>
        <w:spacing w:after="240"/>
        <w:jc w:val="both"/>
        <w:rPr>
          <w:rFonts w:cs="Arial"/>
          <w:vertAlign w:val="superscript"/>
        </w:rPr>
      </w:pPr>
      <w:r w:rsidRPr="006C3FF1">
        <w:rPr>
          <w:rFonts w:cs="Arial"/>
          <w:bCs/>
        </w:rPr>
        <w:t>Donnée</w:t>
      </w:r>
      <w:r>
        <w:rPr>
          <w:rFonts w:cs="Arial"/>
          <w:b/>
        </w:rPr>
        <w:t> :</w:t>
      </w:r>
      <w:r>
        <w:rPr>
          <w:rFonts w:cs="Arial"/>
        </w:rPr>
        <w:t xml:space="preserve"> vitesse de la lumière dans le vide </w:t>
      </w:r>
      <w:r>
        <w:rPr>
          <w:rFonts w:cs="Arial"/>
          <w:i/>
        </w:rPr>
        <w:t>c</w:t>
      </w:r>
      <w:r>
        <w:rPr>
          <w:rFonts w:cs="Arial"/>
        </w:rPr>
        <w:t> = 3,0×10</w:t>
      </w:r>
      <w:r>
        <w:rPr>
          <w:rFonts w:cs="Arial"/>
          <w:vertAlign w:val="superscript"/>
        </w:rPr>
        <w:t>8</w:t>
      </w:r>
      <w:r>
        <w:rPr>
          <w:rFonts w:cs="Arial"/>
        </w:rPr>
        <w:t> m·s</w:t>
      </w:r>
      <w:r>
        <w:rPr>
          <w:rFonts w:cs="Arial"/>
          <w:vertAlign w:val="superscript"/>
        </w:rPr>
        <w:t>–1</w:t>
      </w:r>
    </w:p>
    <w:p w:rsidR="00A1253B" w:rsidRDefault="00852AD1" w:rsidP="004A03DE">
      <w:pPr>
        <w:shd w:val="clear" w:color="auto" w:fill="FFFFFF" w:themeFill="background1"/>
        <w:spacing w:before="360" w:after="120"/>
        <w:jc w:val="both"/>
        <w:rPr>
          <w:rFonts w:eastAsia="Arial" w:cs="Arial"/>
          <w:color w:val="000000" w:themeColor="text1"/>
        </w:rPr>
      </w:pPr>
      <w:r w:rsidRPr="6CD52E8F">
        <w:rPr>
          <w:rFonts w:eastAsia="Arial" w:cs="Arial"/>
          <w:color w:val="000000" w:themeColor="text1"/>
        </w:rPr>
        <w:t xml:space="preserve">L’étude du spectre du rayonnement émis par le Soleil, que l’on peut modéliser comme un spectre de corps noir, permet de déterminer la température de la surface du Soleil. </w:t>
      </w:r>
    </w:p>
    <w:p w:rsidR="004A03DE" w:rsidRPr="007B7CDF" w:rsidRDefault="00852AD1" w:rsidP="004A03DE">
      <w:pPr>
        <w:spacing w:after="0"/>
        <w:jc w:val="both"/>
        <w:rPr>
          <w:rFonts w:cs="Arial"/>
        </w:rPr>
      </w:pPr>
      <w:r w:rsidRPr="007B7CDF">
        <w:rPr>
          <w:rFonts w:cs="Arial"/>
        </w:rPr>
        <w:t xml:space="preserve">À l’aide du document 1 </w:t>
      </w:r>
      <w:r>
        <w:rPr>
          <w:rFonts w:cs="Arial"/>
        </w:rPr>
        <w:t xml:space="preserve">fourni sur la page ci-après, </w:t>
      </w:r>
      <w:r w:rsidRPr="007B7CDF">
        <w:rPr>
          <w:rFonts w:cs="Arial"/>
        </w:rPr>
        <w:t xml:space="preserve">répondre aux </w:t>
      </w:r>
      <w:r>
        <w:rPr>
          <w:rFonts w:cs="Arial"/>
        </w:rPr>
        <w:t>questions</w:t>
      </w:r>
      <w:r w:rsidRPr="007B7CDF">
        <w:rPr>
          <w:rFonts w:cs="Arial"/>
        </w:rPr>
        <w:t xml:space="preserve"> suivantes :</w:t>
      </w:r>
    </w:p>
    <w:p w:rsidR="004A03DE" w:rsidRDefault="00852AD1" w:rsidP="004A03DE">
      <w:pPr>
        <w:spacing w:after="0"/>
        <w:jc w:val="both"/>
        <w:rPr>
          <w:rFonts w:cs="Arial"/>
          <w:b/>
          <w:bCs/>
          <w:color w:val="000000" w:themeColor="text1"/>
        </w:rPr>
      </w:pPr>
    </w:p>
    <w:p w:rsidR="004A03DE" w:rsidRDefault="00852AD1" w:rsidP="004A03DE">
      <w:pPr>
        <w:spacing w:after="0"/>
        <w:jc w:val="both"/>
        <w:rPr>
          <w:rFonts w:cs="Arial"/>
          <w:color w:val="000000" w:themeColor="text1"/>
        </w:rPr>
      </w:pPr>
      <w:r w:rsidRPr="7382BA7A">
        <w:rPr>
          <w:rFonts w:cs="Arial"/>
          <w:b/>
          <w:bCs/>
          <w:color w:val="000000" w:themeColor="text1"/>
        </w:rPr>
        <w:t>3-a-</w:t>
      </w:r>
      <w:r>
        <w:rPr>
          <w:rFonts w:cs="Arial"/>
          <w:color w:val="000000" w:themeColor="text1"/>
        </w:rPr>
        <w:t xml:space="preserve"> Déterminer les longueurs d’ondes correspondant au maximum d’émission pour les températures de 4000, 5000 et 6000 K. D</w:t>
      </w:r>
      <w:r w:rsidRPr="7382BA7A">
        <w:rPr>
          <w:rFonts w:cs="Arial"/>
          <w:color w:val="000000" w:themeColor="text1"/>
        </w:rPr>
        <w:t>écrire qualitativement l’évolution de la longu</w:t>
      </w:r>
      <w:r w:rsidRPr="7382BA7A">
        <w:rPr>
          <w:rFonts w:cs="Arial"/>
          <w:color w:val="000000" w:themeColor="text1"/>
        </w:rPr>
        <w:t>eur d’onde au maximum d'émission en fonction de la température</w:t>
      </w:r>
      <w:r>
        <w:rPr>
          <w:rFonts w:cs="Arial"/>
          <w:color w:val="000000" w:themeColor="text1"/>
        </w:rPr>
        <w:t xml:space="preserve"> </w:t>
      </w:r>
      <w:r w:rsidRPr="00C3610D">
        <w:rPr>
          <w:rFonts w:cs="Arial"/>
        </w:rPr>
        <w:t>du corps.</w:t>
      </w:r>
    </w:p>
    <w:p w:rsidR="004A03DE" w:rsidRDefault="00852AD1" w:rsidP="004A03DE">
      <w:pPr>
        <w:spacing w:after="0"/>
        <w:jc w:val="both"/>
        <w:rPr>
          <w:rFonts w:cs="Arial"/>
          <w:color w:val="000000" w:themeColor="text1"/>
        </w:rPr>
      </w:pPr>
    </w:p>
    <w:p w:rsidR="004A03DE" w:rsidRDefault="00852AD1" w:rsidP="004A03DE">
      <w:pPr>
        <w:spacing w:after="0"/>
        <w:jc w:val="both"/>
        <w:rPr>
          <w:rFonts w:cs="Arial"/>
          <w:color w:val="000000" w:themeColor="text1"/>
        </w:rPr>
      </w:pPr>
      <w:r w:rsidRPr="7382BA7A">
        <w:rPr>
          <w:rFonts w:cs="Arial"/>
          <w:b/>
          <w:bCs/>
          <w:color w:val="000000" w:themeColor="text1"/>
        </w:rPr>
        <w:t>3-b-</w:t>
      </w:r>
      <w:r>
        <w:rPr>
          <w:rFonts w:cs="Arial"/>
          <w:color w:val="000000" w:themeColor="text1"/>
        </w:rPr>
        <w:t xml:space="preserve"> Justifier à partir de </w:t>
      </w:r>
      <w:r w:rsidRPr="7382BA7A">
        <w:rPr>
          <w:rFonts w:cs="Arial"/>
          <w:color w:val="000000" w:themeColor="text1"/>
        </w:rPr>
        <w:t>la valeur de la longueur d’onde d’émission maximale</w:t>
      </w:r>
      <w:r>
        <w:rPr>
          <w:rFonts w:cs="Arial"/>
          <w:color w:val="000000" w:themeColor="text1"/>
        </w:rPr>
        <w:t xml:space="preserve"> du spectre solaire que la température du Soleil</w:t>
      </w:r>
      <w:r w:rsidRPr="7382BA7A">
        <w:rPr>
          <w:rFonts w:cs="Arial"/>
          <w:color w:val="000000" w:themeColor="text1"/>
        </w:rPr>
        <w:t xml:space="preserve"> </w:t>
      </w:r>
      <w:r>
        <w:rPr>
          <w:rFonts w:cs="Arial"/>
          <w:color w:val="000000" w:themeColor="text1"/>
        </w:rPr>
        <w:t>est comprise entre 5500 K et 6000 K</w:t>
      </w:r>
      <w:r w:rsidRPr="7382BA7A">
        <w:rPr>
          <w:rFonts w:cs="Arial"/>
          <w:color w:val="000000" w:themeColor="text1"/>
        </w:rPr>
        <w:t>.</w:t>
      </w:r>
    </w:p>
    <w:p w:rsidR="004A03DE" w:rsidRDefault="00852AD1" w:rsidP="004A03DE">
      <w:pPr>
        <w:spacing w:after="0"/>
        <w:jc w:val="both"/>
        <w:rPr>
          <w:rFonts w:cs="Arial"/>
          <w:b/>
          <w:bCs/>
          <w:color w:val="000000" w:themeColor="text1"/>
        </w:rPr>
      </w:pPr>
    </w:p>
    <w:p w:rsidR="004A03DE" w:rsidRDefault="00852AD1" w:rsidP="004A03DE">
      <w:pPr>
        <w:spacing w:after="120"/>
        <w:jc w:val="both"/>
        <w:rPr>
          <w:rFonts w:cs="Arial"/>
          <w:color w:val="000000" w:themeColor="text1"/>
        </w:rPr>
      </w:pPr>
      <w:r>
        <w:rPr>
          <w:rFonts w:cs="Arial"/>
          <w:b/>
          <w:bCs/>
          <w:color w:val="000000" w:themeColor="text1"/>
        </w:rPr>
        <w:t>3-c-</w:t>
      </w:r>
      <w:r w:rsidRPr="7382BA7A">
        <w:rPr>
          <w:rFonts w:cs="Arial"/>
          <w:color w:val="000000" w:themeColor="text1"/>
        </w:rPr>
        <w:t xml:space="preserve"> </w:t>
      </w:r>
      <w:r w:rsidRPr="7382BA7A">
        <w:rPr>
          <w:rFonts w:eastAsia="Arial" w:cs="Arial"/>
          <w:color w:val="000000" w:themeColor="text1"/>
        </w:rPr>
        <w:t>La températu</w:t>
      </w:r>
      <w:r w:rsidRPr="7382BA7A">
        <w:rPr>
          <w:rFonts w:eastAsia="Arial" w:cs="Arial"/>
          <w:color w:val="000000" w:themeColor="text1"/>
        </w:rPr>
        <w:t>re de surface du Soleil peut être déterminée plus précisément à partir de la loi de Wien. Cette loi permet de déterminer la température d’un corps noir à partir de la longueur d’onde λ</w:t>
      </w:r>
      <w:r w:rsidRPr="7382BA7A">
        <w:rPr>
          <w:rFonts w:eastAsia="Arial" w:cs="Arial"/>
          <w:color w:val="000000" w:themeColor="text1"/>
          <w:vertAlign w:val="subscript"/>
        </w:rPr>
        <w:t>max</w:t>
      </w:r>
      <w:r w:rsidRPr="7382BA7A">
        <w:rPr>
          <w:rFonts w:eastAsia="Arial" w:cs="Arial"/>
          <w:color w:val="000000" w:themeColor="text1"/>
        </w:rPr>
        <w:t xml:space="preserve"> de son maximum d’émission </w:t>
      </w:r>
      <w:r>
        <w:rPr>
          <w:rFonts w:eastAsia="Arial" w:cs="Arial"/>
          <w:color w:val="000000" w:themeColor="text1"/>
        </w:rPr>
        <w:t xml:space="preserve">par la relation </w:t>
      </w:r>
      <w:r w:rsidRPr="7382BA7A">
        <w:rPr>
          <w:rFonts w:eastAsia="Arial" w:cs="Arial"/>
          <w:color w:val="000000" w:themeColor="text1"/>
        </w:rPr>
        <w:t>:</w:t>
      </w:r>
    </w:p>
    <w:p w:rsidR="004A03DE" w:rsidRDefault="00852AD1" w:rsidP="004A03DE">
      <w:pPr>
        <w:spacing w:after="60" w:line="253" w:lineRule="exact"/>
        <w:ind w:left="2832" w:firstLine="708"/>
        <w:jc w:val="both"/>
        <w:rPr>
          <w:rFonts w:cs="Arial"/>
          <w:color w:val="000000"/>
        </w:rPr>
      </w:pPr>
      <w:r>
        <w:rPr>
          <w:rFonts w:eastAsia="Arial" w:cs="Arial"/>
          <w:color w:val="000000" w:themeColor="text1"/>
        </w:rPr>
        <w:t>λ</w:t>
      </w:r>
      <w:r>
        <w:rPr>
          <w:rFonts w:eastAsia="Arial" w:cs="Arial"/>
          <w:color w:val="000000" w:themeColor="text1"/>
          <w:vertAlign w:val="subscript"/>
        </w:rPr>
        <w:t>max</w:t>
      </w:r>
      <w:r>
        <w:rPr>
          <w:rFonts w:eastAsia="Arial" w:cs="Arial"/>
          <w:color w:val="000000" w:themeColor="text1"/>
        </w:rPr>
        <w:t xml:space="preserve"> = k/</w:t>
      </w:r>
      <w:r w:rsidRPr="007B7CDF">
        <w:rPr>
          <w:rFonts w:eastAsia="Arial" w:cs="Arial"/>
          <w:i/>
          <w:iCs/>
          <w:color w:val="000000" w:themeColor="text1"/>
        </w:rPr>
        <w:t>T</w:t>
      </w:r>
    </w:p>
    <w:p w:rsidR="004A03DE" w:rsidRDefault="00852AD1" w:rsidP="004A03DE">
      <w:pPr>
        <w:spacing w:after="60" w:line="253" w:lineRule="exact"/>
        <w:jc w:val="both"/>
        <w:rPr>
          <w:rFonts w:cs="Arial"/>
          <w:color w:val="000000" w:themeColor="text1"/>
        </w:rPr>
      </w:pPr>
      <w:r>
        <w:rPr>
          <w:rFonts w:eastAsia="Arial" w:cs="Arial"/>
          <w:color w:val="000000" w:themeColor="text1"/>
        </w:rPr>
        <w:t xml:space="preserve"> avec : </w:t>
      </w:r>
    </w:p>
    <w:p w:rsidR="004A03DE" w:rsidRDefault="00852AD1" w:rsidP="004A03DE">
      <w:pPr>
        <w:spacing w:after="60" w:line="253" w:lineRule="exact"/>
        <w:ind w:left="567" w:firstLine="348"/>
        <w:jc w:val="both"/>
        <w:rPr>
          <w:rFonts w:cs="Arial"/>
          <w:color w:val="000000" w:themeColor="text1"/>
        </w:rPr>
      </w:pPr>
      <w:r w:rsidRPr="007B7CDF">
        <w:rPr>
          <w:rFonts w:eastAsia="Arial" w:cs="Arial"/>
          <w:i/>
          <w:iCs/>
          <w:color w:val="000000" w:themeColor="text1"/>
        </w:rPr>
        <w:t>T</w:t>
      </w:r>
      <w:r>
        <w:rPr>
          <w:rFonts w:eastAsia="Arial" w:cs="Arial"/>
          <w:color w:val="000000" w:themeColor="text1"/>
        </w:rPr>
        <w:t xml:space="preserve"> : </w:t>
      </w:r>
      <w:r>
        <w:rPr>
          <w:rFonts w:eastAsia="Arial" w:cs="Arial"/>
          <w:color w:val="000000" w:themeColor="text1"/>
        </w:rPr>
        <w:t>température du corps noir, en kelvins (K)</w:t>
      </w:r>
    </w:p>
    <w:p w:rsidR="004A03DE" w:rsidRDefault="00852AD1" w:rsidP="004A03DE">
      <w:pPr>
        <w:spacing w:line="253" w:lineRule="exact"/>
        <w:ind w:left="567" w:firstLine="348"/>
        <w:jc w:val="both"/>
        <w:rPr>
          <w:rFonts w:cs="Arial"/>
          <w:color w:val="000000" w:themeColor="text1"/>
        </w:rPr>
      </w:pPr>
      <w:r>
        <w:rPr>
          <w:rFonts w:eastAsia="Arial" w:cs="Arial"/>
          <w:color w:val="000000" w:themeColor="text1"/>
        </w:rPr>
        <w:t>k : constante égale à 2,898×10</w:t>
      </w:r>
      <w:r>
        <w:rPr>
          <w:rFonts w:eastAsia="Arial" w:cs="Arial"/>
          <w:color w:val="000000" w:themeColor="text1"/>
          <w:vertAlign w:val="superscript"/>
        </w:rPr>
        <w:t>-3</w:t>
      </w:r>
      <w:r>
        <w:rPr>
          <w:rFonts w:eastAsia="Arial" w:cs="Arial"/>
          <w:color w:val="000000" w:themeColor="text1"/>
        </w:rPr>
        <w:t xml:space="preserve"> m</w:t>
      </w:r>
      <w:r>
        <w:rPr>
          <w:rFonts w:eastAsia="Arial" w:cs="Arial"/>
          <w:color w:val="000000" w:themeColor="text1"/>
          <w:highlight w:val="white"/>
        </w:rPr>
        <w:t>·</w:t>
      </w:r>
      <w:r>
        <w:rPr>
          <w:rFonts w:eastAsia="Arial" w:cs="Arial"/>
          <w:color w:val="000000" w:themeColor="text1"/>
        </w:rPr>
        <w:t>K</w:t>
      </w:r>
    </w:p>
    <w:p w:rsidR="004A03DE" w:rsidRDefault="00852AD1" w:rsidP="004A03DE">
      <w:pPr>
        <w:spacing w:after="0" w:line="253" w:lineRule="exact"/>
        <w:jc w:val="both"/>
        <w:rPr>
          <w:rFonts w:eastAsia="Arial" w:cs="Arial"/>
          <w:color w:val="000000" w:themeColor="text1"/>
        </w:rPr>
      </w:pPr>
      <w:r>
        <w:rPr>
          <w:rFonts w:eastAsia="Arial" w:cs="Arial"/>
          <w:color w:val="000000" w:themeColor="text1"/>
        </w:rPr>
        <w:t xml:space="preserve">En considérant que le Soleil se comporte comme un corps noir, déterminer sa température de surface </w:t>
      </w:r>
      <w:r w:rsidRPr="007B7CDF">
        <w:rPr>
          <w:rFonts w:eastAsia="Arial" w:cs="Arial"/>
          <w:i/>
          <w:iCs/>
          <w:color w:val="000000" w:themeColor="text1"/>
        </w:rPr>
        <w:t>T</w:t>
      </w:r>
      <w:r>
        <w:rPr>
          <w:rFonts w:eastAsia="Arial" w:cs="Arial"/>
          <w:color w:val="000000" w:themeColor="text1"/>
        </w:rPr>
        <w:t xml:space="preserve"> à partir de la loi de Wien.</w:t>
      </w:r>
    </w:p>
    <w:p w:rsidR="004A03DE" w:rsidRPr="00497C3D" w:rsidRDefault="00852AD1" w:rsidP="004A03DE">
      <w:pPr>
        <w:spacing w:after="0" w:line="240" w:lineRule="auto"/>
        <w:rPr>
          <w:rFonts w:cs="Arial"/>
          <w:vertAlign w:val="superscript"/>
        </w:rPr>
      </w:pPr>
      <w:r>
        <w:rPr>
          <w:rFonts w:eastAsia="Arial" w:cs="Arial"/>
          <w:color w:val="000000" w:themeColor="text1"/>
        </w:rPr>
        <w:br w:type="page"/>
      </w:r>
    </w:p>
    <w:tbl>
      <w:tblPr>
        <w:tblStyle w:val="Grilledutableau"/>
        <w:tblpPr w:leftFromText="141" w:rightFromText="141" w:vertAnchor="text" w:horzAnchor="margin" w:tblpY="91"/>
        <w:tblW w:w="9062" w:type="dxa"/>
        <w:tblLook w:val="04A0" w:firstRow="1" w:lastRow="0" w:firstColumn="1" w:lastColumn="0" w:noHBand="0" w:noVBand="1"/>
      </w:tblPr>
      <w:tblGrid>
        <w:gridCol w:w="9062"/>
      </w:tblGrid>
      <w:tr w:rsidR="009B0EE3" w:rsidTr="000B4533">
        <w:tc>
          <w:tcPr>
            <w:tcW w:w="9062" w:type="dxa"/>
            <w:tcBorders>
              <w:bottom w:val="nil"/>
            </w:tcBorders>
          </w:tcPr>
          <w:p w:rsidR="009B0EE3" w:rsidRPr="000B4533" w:rsidRDefault="00852AD1" w:rsidP="004A03DE">
            <w:pPr>
              <w:shd w:val="clear" w:color="auto" w:fill="FFFFFF"/>
              <w:spacing w:before="120" w:after="120" w:line="276" w:lineRule="auto"/>
              <w:jc w:val="both"/>
              <w:rPr>
                <w:rFonts w:eastAsia="Times New Roman" w:cs="Arial"/>
                <w:color w:val="000000"/>
                <w:u w:val="single"/>
              </w:rPr>
            </w:pPr>
            <w:r w:rsidRPr="000B4533">
              <w:rPr>
                <w:rFonts w:eastAsia="Times New Roman" w:cs="Arial"/>
                <w:color w:val="000000" w:themeColor="text1"/>
                <w:u w:val="single"/>
              </w:rPr>
              <w:lastRenderedPageBreak/>
              <w:t>Document 1 : spectres d’émission</w:t>
            </w:r>
          </w:p>
        </w:tc>
      </w:tr>
      <w:tr w:rsidR="009B0EE3" w:rsidTr="004A03DE">
        <w:tc>
          <w:tcPr>
            <w:tcW w:w="9062" w:type="dxa"/>
            <w:tcBorders>
              <w:top w:val="nil"/>
              <w:bottom w:val="nil"/>
            </w:tcBorders>
          </w:tcPr>
          <w:p w:rsidR="009B0EE3" w:rsidRDefault="00852AD1" w:rsidP="004A03DE">
            <w:pPr>
              <w:shd w:val="clear" w:color="auto" w:fill="FFFFFF" w:themeFill="background1"/>
              <w:spacing w:after="120" w:line="276" w:lineRule="auto"/>
              <w:jc w:val="center"/>
              <w:rPr>
                <w:rFonts w:eastAsia="Arial" w:cs="Arial"/>
              </w:rPr>
            </w:pPr>
            <w:r>
              <w:rPr>
                <w:rFonts w:cs="Arial"/>
                <w:noProof/>
              </w:rPr>
              <w:drawing>
                <wp:inline distT="0" distB="0" distL="0" distR="0" wp14:anchorId="0C243763" wp14:editId="2AF2AC11">
                  <wp:extent cx="3431540" cy="3028950"/>
                  <wp:effectExtent l="0" t="0" r="0" b="6350"/>
                  <wp:docPr id="3"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
                          <pic:cNvPicPr>
                            <a:picLocks noChangeAspect="1"/>
                          </pic:cNvPicPr>
                        </pic:nvPicPr>
                        <pic:blipFill>
                          <a:blip r:embed="rId12">
                            <a:extLst>
                              <a:ext uri="{28A0092B-C50C-407E-A947-70E740481C1C}">
                                <a14:useLocalDpi xmlns:a14="http://schemas.microsoft.com/office/drawing/2010/main" val="0"/>
                              </a:ext>
                            </a:extLst>
                          </a:blip>
                          <a:stretch/>
                        </pic:blipFill>
                        <pic:spPr bwMode="auto">
                          <a:xfrm>
                            <a:off x="0" y="0"/>
                            <a:ext cx="3431540" cy="3028950"/>
                          </a:xfrm>
                          <a:prstGeom prst="rect">
                            <a:avLst/>
                          </a:prstGeom>
                        </pic:spPr>
                      </pic:pic>
                    </a:graphicData>
                  </a:graphic>
                </wp:inline>
              </w:drawing>
            </w:r>
            <w:r>
              <w:rPr>
                <w:rFonts w:eastAsia="Arial" w:cs="Arial"/>
              </w:rPr>
              <w:t xml:space="preserve">   </w:t>
            </w:r>
          </w:p>
          <w:p w:rsidR="009B0EE3" w:rsidRPr="000B4533" w:rsidRDefault="00852AD1" w:rsidP="004A03DE">
            <w:pPr>
              <w:shd w:val="clear" w:color="auto" w:fill="FFFFFF"/>
              <w:spacing w:after="120" w:line="276" w:lineRule="auto"/>
              <w:jc w:val="center"/>
              <w:rPr>
                <w:rFonts w:eastAsia="Times New Roman" w:cs="Arial"/>
                <w:color w:val="000000"/>
              </w:rPr>
            </w:pPr>
            <w:r>
              <w:rPr>
                <w:rFonts w:eastAsia="Times New Roman" w:cs="Arial"/>
                <w:b/>
                <w:bCs/>
                <w:color w:val="000000" w:themeColor="text1"/>
              </w:rPr>
              <w:t>F</w:t>
            </w:r>
            <w:r w:rsidRPr="009B0EE3">
              <w:rPr>
                <w:rFonts w:eastAsia="Times New Roman" w:cs="Arial"/>
                <w:b/>
                <w:bCs/>
                <w:color w:val="000000" w:themeColor="text1"/>
              </w:rPr>
              <w:t xml:space="preserve">igure </w:t>
            </w:r>
            <w:r w:rsidRPr="009B0EE3">
              <w:rPr>
                <w:rFonts w:eastAsia="Times New Roman" w:cs="Arial"/>
                <w:b/>
                <w:bCs/>
                <w:color w:val="000000" w:themeColor="text1"/>
              </w:rPr>
              <w:t>1</w:t>
            </w:r>
            <w:r>
              <w:rPr>
                <w:rFonts w:eastAsia="Times New Roman" w:cs="Arial"/>
                <w:b/>
                <w:bCs/>
                <w:color w:val="000000" w:themeColor="text1"/>
              </w:rPr>
              <w:t>a</w:t>
            </w:r>
            <w:r w:rsidRPr="009B0EE3">
              <w:rPr>
                <w:rFonts w:eastAsia="Times New Roman" w:cs="Arial"/>
                <w:b/>
                <w:bCs/>
                <w:color w:val="000000" w:themeColor="text1"/>
              </w:rPr>
              <w:t> :</w:t>
            </w:r>
            <w:r>
              <w:rPr>
                <w:rFonts w:eastAsia="Times New Roman" w:cs="Arial"/>
                <w:color w:val="000000" w:themeColor="text1"/>
              </w:rPr>
              <w:t xml:space="preserve"> spectres d’émission du corps noir à différentes </w:t>
            </w:r>
            <w:r w:rsidRPr="000B4533">
              <w:rPr>
                <w:rFonts w:eastAsia="Times New Roman" w:cs="Arial"/>
                <w:color w:val="000000" w:themeColor="text1"/>
              </w:rPr>
              <w:t>températures</w:t>
            </w:r>
          </w:p>
        </w:tc>
      </w:tr>
      <w:tr w:rsidR="009B0EE3" w:rsidTr="004A03DE">
        <w:tc>
          <w:tcPr>
            <w:tcW w:w="9062" w:type="dxa"/>
            <w:tcBorders>
              <w:top w:val="nil"/>
            </w:tcBorders>
          </w:tcPr>
          <w:p w:rsidR="000B4533" w:rsidRDefault="00852AD1" w:rsidP="004A03DE">
            <w:pPr>
              <w:shd w:val="clear" w:color="auto" w:fill="FFFFFF" w:themeFill="background1"/>
              <w:spacing w:after="120" w:line="276" w:lineRule="auto"/>
              <w:jc w:val="center"/>
              <w:rPr>
                <w:rFonts w:eastAsia="Times New Roman" w:cs="Arial"/>
                <w:b/>
                <w:bCs/>
                <w:color w:val="000000" w:themeColor="text1"/>
              </w:rPr>
            </w:pPr>
            <w:r>
              <w:rPr>
                <w:rFonts w:cs="Arial"/>
                <w:noProof/>
              </w:rPr>
              <w:drawing>
                <wp:inline distT="0" distB="0" distL="0" distR="0" wp14:anchorId="5B39354C" wp14:editId="480626DA">
                  <wp:extent cx="3474085" cy="2870200"/>
                  <wp:effectExtent l="0" t="0" r="5715" b="0"/>
                  <wp:docPr id="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a:picLocks noChangeAspect="1"/>
                          </pic:cNvPicPr>
                        </pic:nvPicPr>
                        <pic:blipFill>
                          <a:blip r:embed="rId13">
                            <a:extLst>
                              <a:ext uri="{28A0092B-C50C-407E-A947-70E740481C1C}">
                                <a14:useLocalDpi xmlns:a14="http://schemas.microsoft.com/office/drawing/2010/main" val="0"/>
                              </a:ext>
                            </a:extLst>
                          </a:blip>
                          <a:stretch/>
                        </pic:blipFill>
                        <pic:spPr bwMode="auto">
                          <a:xfrm>
                            <a:off x="0" y="0"/>
                            <a:ext cx="3474085" cy="2870200"/>
                          </a:xfrm>
                          <a:prstGeom prst="rect">
                            <a:avLst/>
                          </a:prstGeom>
                        </pic:spPr>
                      </pic:pic>
                    </a:graphicData>
                  </a:graphic>
                </wp:inline>
              </w:drawing>
            </w:r>
          </w:p>
          <w:p w:rsidR="009B0EE3" w:rsidRDefault="00852AD1" w:rsidP="004A03DE">
            <w:pPr>
              <w:shd w:val="clear" w:color="auto" w:fill="FFFFFF" w:themeFill="background1"/>
              <w:spacing w:line="276" w:lineRule="auto"/>
              <w:jc w:val="center"/>
              <w:rPr>
                <w:rFonts w:eastAsia="Times New Roman" w:cs="Arial"/>
                <w:color w:val="000000" w:themeColor="text1"/>
              </w:rPr>
            </w:pPr>
            <w:r w:rsidRPr="009B0EE3">
              <w:rPr>
                <w:rFonts w:eastAsia="Times New Roman" w:cs="Arial"/>
                <w:b/>
                <w:bCs/>
                <w:color w:val="000000" w:themeColor="text1"/>
              </w:rPr>
              <w:t>Figure 1</w:t>
            </w:r>
            <w:r>
              <w:rPr>
                <w:rFonts w:eastAsia="Times New Roman" w:cs="Arial"/>
                <w:b/>
                <w:bCs/>
                <w:color w:val="000000" w:themeColor="text1"/>
              </w:rPr>
              <w:t>b</w:t>
            </w:r>
            <w:r w:rsidRPr="009B0EE3">
              <w:rPr>
                <w:rFonts w:eastAsia="Times New Roman" w:cs="Arial"/>
                <w:b/>
                <w:bCs/>
                <w:color w:val="000000" w:themeColor="text1"/>
              </w:rPr>
              <w:t xml:space="preserve"> : </w:t>
            </w:r>
            <w:r>
              <w:rPr>
                <w:rFonts w:eastAsia="Times New Roman" w:cs="Arial"/>
                <w:color w:val="000000" w:themeColor="text1"/>
              </w:rPr>
              <w:t>m</w:t>
            </w:r>
            <w:r w:rsidRPr="009B0EE3">
              <w:rPr>
                <w:rFonts w:eastAsia="Times New Roman" w:cs="Arial"/>
                <w:color w:val="000000" w:themeColor="text1"/>
              </w:rPr>
              <w:t>odèle du spectre d’émission du soleil.</w:t>
            </w:r>
          </w:p>
        </w:tc>
      </w:tr>
    </w:tbl>
    <w:p w:rsidR="007B7CDF" w:rsidRDefault="00852AD1" w:rsidP="7382BA7A">
      <w:pPr>
        <w:spacing w:after="0"/>
        <w:jc w:val="both"/>
        <w:rPr>
          <w:rFonts w:cs="Arial"/>
          <w:b/>
          <w:bCs/>
          <w:color w:val="0070C0"/>
        </w:rPr>
      </w:pPr>
    </w:p>
    <w:p w:rsidR="001D6927" w:rsidRDefault="00852AD1">
      <w:pPr>
        <w:spacing w:after="0" w:line="253" w:lineRule="exact"/>
        <w:jc w:val="both"/>
        <w:rPr>
          <w:rFonts w:cs="Arial"/>
          <w:color w:val="000000"/>
        </w:rPr>
      </w:pPr>
    </w:p>
    <w:p w:rsidR="0059015E" w:rsidRDefault="00852AD1" w:rsidP="002A651C">
      <w:pPr>
        <w:spacing w:after="0"/>
        <w:jc w:val="both"/>
        <w:rPr>
          <w:rFonts w:cs="Arial"/>
          <w:b/>
          <w:color w:val="000000" w:themeColor="text1"/>
        </w:rPr>
      </w:pPr>
    </w:p>
    <w:p w:rsidR="0059015E" w:rsidRDefault="00852AD1" w:rsidP="002A651C">
      <w:pPr>
        <w:spacing w:after="0"/>
        <w:jc w:val="both"/>
        <w:rPr>
          <w:rFonts w:cs="Arial"/>
          <w:b/>
          <w:color w:val="000000" w:themeColor="text1"/>
        </w:rPr>
      </w:pPr>
    </w:p>
    <w:p w:rsidR="0059015E" w:rsidRDefault="00852AD1" w:rsidP="002A651C">
      <w:pPr>
        <w:spacing w:after="0"/>
        <w:jc w:val="both"/>
        <w:rPr>
          <w:rFonts w:cs="Arial"/>
          <w:b/>
          <w:color w:val="000000" w:themeColor="text1"/>
        </w:rPr>
      </w:pPr>
    </w:p>
    <w:p w:rsidR="00C60753" w:rsidRPr="007B7CDF" w:rsidRDefault="00852AD1" w:rsidP="0059015E">
      <w:pPr>
        <w:spacing w:after="240"/>
        <w:jc w:val="both"/>
        <w:rPr>
          <w:rFonts w:cs="Arial"/>
          <w:bCs/>
        </w:rPr>
      </w:pPr>
      <w:r>
        <w:rPr>
          <w:rFonts w:cs="Arial"/>
          <w:b/>
          <w:color w:val="000000" w:themeColor="text1"/>
        </w:rPr>
        <w:t xml:space="preserve">4-a- </w:t>
      </w:r>
      <w:r w:rsidRPr="007B7CDF">
        <w:rPr>
          <w:rFonts w:cs="Arial"/>
          <w:bCs/>
        </w:rPr>
        <w:t xml:space="preserve">Sachant que l’albedo terrestre est en moyenne égal à 0,30 et que </w:t>
      </w:r>
      <w:r w:rsidRPr="007B7CDF">
        <w:rPr>
          <w:rFonts w:eastAsia="Arial" w:cs="Arial"/>
          <w:bCs/>
        </w:rPr>
        <w:t xml:space="preserve">la puissance surfacique transportée par la lumière solaire </w:t>
      </w:r>
      <w:r w:rsidRPr="007B7CDF">
        <w:rPr>
          <w:rFonts w:eastAsia="Arial" w:cs="Arial"/>
          <w:bCs/>
        </w:rPr>
        <w:t>vers</w:t>
      </w:r>
      <w:r>
        <w:rPr>
          <w:rFonts w:eastAsia="Arial" w:cs="Arial"/>
          <w:bCs/>
        </w:rPr>
        <w:t xml:space="preserve"> la Terre est en moyenne de 342 </w:t>
      </w:r>
      <w:r w:rsidRPr="007B7CDF">
        <w:rPr>
          <w:rFonts w:eastAsia="Arial" w:cs="Arial"/>
          <w:bCs/>
        </w:rPr>
        <w:t>W</w:t>
      </w:r>
      <w:r w:rsidRPr="007B7CDF">
        <w:rPr>
          <w:rFonts w:cs="Arial"/>
          <w:bCs/>
          <w:shd w:val="clear" w:color="auto" w:fill="FFFFFF"/>
        </w:rPr>
        <w:t>·</w:t>
      </w:r>
      <w:r w:rsidRPr="007B7CDF">
        <w:rPr>
          <w:rFonts w:eastAsia="Arial" w:cs="Arial"/>
          <w:bCs/>
        </w:rPr>
        <w:t>m</w:t>
      </w:r>
      <w:r w:rsidRPr="007B7CDF">
        <w:rPr>
          <w:rFonts w:eastAsia="Arial" w:cs="Arial"/>
          <w:bCs/>
          <w:vertAlign w:val="superscript"/>
        </w:rPr>
        <w:t>-2</w:t>
      </w:r>
      <w:r w:rsidRPr="007B7CDF">
        <w:rPr>
          <w:rFonts w:cs="Arial"/>
          <w:bCs/>
        </w:rPr>
        <w:t>, calculer la puissance surfacique solaire moyenne absorbée par le sol terrestre.</w:t>
      </w:r>
    </w:p>
    <w:p w:rsidR="007B7CDF" w:rsidRPr="007B7CDF" w:rsidRDefault="00852AD1" w:rsidP="002A651C">
      <w:pPr>
        <w:spacing w:after="0"/>
        <w:jc w:val="both"/>
        <w:rPr>
          <w:rFonts w:cs="Arial"/>
          <w:bCs/>
          <w:color w:val="000000" w:themeColor="text1"/>
        </w:rPr>
      </w:pPr>
      <w:r>
        <w:rPr>
          <w:rFonts w:cs="Arial"/>
          <w:b/>
          <w:color w:val="000000" w:themeColor="text1"/>
        </w:rPr>
        <w:t xml:space="preserve">4-b- </w:t>
      </w:r>
      <w:r>
        <w:rPr>
          <w:rFonts w:cs="Arial"/>
          <w:bCs/>
          <w:color w:val="000000" w:themeColor="text1"/>
        </w:rPr>
        <w:t xml:space="preserve">Préciser, en justifiant la réponse, </w:t>
      </w:r>
      <w:r w:rsidRPr="007B7CDF">
        <w:rPr>
          <w:rFonts w:cs="Arial"/>
          <w:bCs/>
          <w:color w:val="000000" w:themeColor="text1"/>
        </w:rPr>
        <w:t xml:space="preserve">si </w:t>
      </w:r>
      <w:r>
        <w:rPr>
          <w:rFonts w:cs="Arial"/>
          <w:bCs/>
          <w:color w:val="000000" w:themeColor="text1"/>
        </w:rPr>
        <w:t>une augmentation de l’albedo terrestre conduirait à une augmentation ou une diminution de</w:t>
      </w:r>
      <w:r>
        <w:rPr>
          <w:rFonts w:cs="Arial"/>
          <w:bCs/>
          <w:color w:val="000000" w:themeColor="text1"/>
        </w:rPr>
        <w:t xml:space="preserve"> la température moyenne à la surface de la Terre. </w:t>
      </w:r>
      <w:r>
        <w:br w:type="page"/>
      </w:r>
    </w:p>
    <w:p w:rsidR="003052F9" w:rsidRPr="00A77456" w:rsidRDefault="00852AD1" w:rsidP="003052F9">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3052F9" w:rsidRPr="00A77456" w:rsidRDefault="00852AD1" w:rsidP="003052F9">
      <w:pPr>
        <w:spacing w:after="240"/>
        <w:jc w:val="center"/>
        <w:rPr>
          <w:rFonts w:eastAsia="Arial" w:cs="Arial"/>
          <w:i/>
        </w:rPr>
      </w:pPr>
      <w:r w:rsidRPr="00A77456">
        <w:rPr>
          <w:rFonts w:eastAsia="Arial" w:cs="Arial"/>
          <w:i/>
        </w:rPr>
        <w:t>Thème « </w:t>
      </w:r>
      <w:r>
        <w:rPr>
          <w:rFonts w:eastAsia="Arial" w:cs="Arial"/>
          <w:i/>
        </w:rPr>
        <w:t>Une longue histoire de la matière »</w:t>
      </w:r>
    </w:p>
    <w:p w:rsidR="003052F9" w:rsidRPr="00D87AD1" w:rsidRDefault="00852AD1" w:rsidP="003052F9">
      <w:pPr>
        <w:spacing w:after="120"/>
        <w:rPr>
          <w:b/>
          <w:sz w:val="22"/>
        </w:rPr>
      </w:pPr>
      <w:r>
        <w:rPr>
          <w:b/>
          <w:sz w:val="28"/>
        </w:rPr>
        <w:t>Un poison radioactif</w:t>
      </w:r>
    </w:p>
    <w:p w:rsidR="003052F9" w:rsidRPr="000E2C8B" w:rsidRDefault="00852AD1" w:rsidP="003052F9">
      <w:pPr>
        <w:spacing w:after="0"/>
        <w:rPr>
          <w:i/>
        </w:rPr>
      </w:pPr>
      <w:r w:rsidRPr="00D74F67">
        <w:rPr>
          <w:i/>
        </w:rPr>
        <w:t>Sur 10 points</w:t>
      </w:r>
    </w:p>
    <w:p w:rsidR="0290CC94" w:rsidRPr="00265FCE" w:rsidRDefault="00852AD1" w:rsidP="0290CC94">
      <w:pPr>
        <w:spacing w:after="0" w:line="240" w:lineRule="auto"/>
        <w:jc w:val="center"/>
        <w:rPr>
          <w:rFonts w:cs="Arial"/>
          <w:bCs/>
          <w:i/>
          <w:iCs/>
        </w:rPr>
      </w:pPr>
    </w:p>
    <w:p w:rsidR="006446DF" w:rsidRPr="00265FCE" w:rsidRDefault="00852AD1" w:rsidP="001430C7">
      <w:pPr>
        <w:spacing w:after="0" w:line="240" w:lineRule="auto"/>
        <w:rPr>
          <w:rFonts w:cs="Arial"/>
          <w:bCs/>
        </w:rPr>
      </w:pPr>
      <w:r w:rsidRPr="00265FCE">
        <w:rPr>
          <w:rFonts w:cs="Arial"/>
          <w:bCs/>
        </w:rPr>
        <w:t>Un écrivain vous contacte pou</w:t>
      </w:r>
      <w:r>
        <w:rPr>
          <w:rFonts w:cs="Arial"/>
          <w:bCs/>
        </w:rPr>
        <w:t>r achever un roman d’espionnage… S</w:t>
      </w:r>
      <w:r w:rsidRPr="00265FCE">
        <w:rPr>
          <w:rFonts w:cs="Arial"/>
          <w:bCs/>
        </w:rPr>
        <w:t>uspens</w:t>
      </w:r>
      <w:r>
        <w:rPr>
          <w:rFonts w:cs="Arial"/>
          <w:bCs/>
        </w:rPr>
        <w:t>e</w:t>
      </w:r>
      <w:r w:rsidRPr="00265FCE">
        <w:rPr>
          <w:rFonts w:cs="Arial"/>
          <w:bCs/>
        </w:rPr>
        <w:t> !</w:t>
      </w:r>
      <w:r>
        <w:rPr>
          <w:rFonts w:cs="Arial"/>
          <w:bCs/>
        </w:rPr>
        <w:t xml:space="preserve"> </w:t>
      </w:r>
    </w:p>
    <w:p w:rsidR="006446DF" w:rsidRPr="00833196" w:rsidRDefault="00852AD1">
      <w:pPr>
        <w:spacing w:after="0" w:line="240" w:lineRule="auto"/>
        <w:rPr>
          <w:rFonts w:cs="Arial"/>
        </w:rPr>
      </w:pPr>
      <w:r w:rsidRPr="00833196">
        <w:rPr>
          <w:rFonts w:cs="Arial"/>
        </w:rPr>
        <w:t xml:space="preserve"> </w:t>
      </w:r>
    </w:p>
    <w:tbl>
      <w:tblPr>
        <w:tblStyle w:val="Grilledutableau"/>
        <w:tblW w:w="9209" w:type="dxa"/>
        <w:tblBorders>
          <w:insideH w:val="none" w:sz="0" w:space="0" w:color="auto"/>
          <w:insideV w:val="none" w:sz="0" w:space="0" w:color="auto"/>
        </w:tblBorders>
        <w:tblLook w:val="04A0" w:firstRow="1" w:lastRow="0" w:firstColumn="1" w:lastColumn="0" w:noHBand="0" w:noVBand="1"/>
      </w:tblPr>
      <w:tblGrid>
        <w:gridCol w:w="9209"/>
      </w:tblGrid>
      <w:tr w:rsidR="00C20D5B" w:rsidRPr="004E1AAE" w:rsidTr="000454FE">
        <w:tc>
          <w:tcPr>
            <w:tcW w:w="9209" w:type="dxa"/>
          </w:tcPr>
          <w:p w:rsidR="00C20D5B" w:rsidRPr="00833196" w:rsidRDefault="00852AD1" w:rsidP="000454FE">
            <w:pPr>
              <w:spacing w:before="120" w:after="120" w:line="240" w:lineRule="auto"/>
              <w:rPr>
                <w:rFonts w:cs="Arial"/>
                <w:bCs/>
              </w:rPr>
            </w:pPr>
            <w:r w:rsidRPr="000454FE">
              <w:rPr>
                <w:rFonts w:cs="Arial"/>
                <w:bCs/>
                <w:u w:val="single"/>
              </w:rPr>
              <w:t>Document</w:t>
            </w:r>
            <w:r w:rsidRPr="000454FE">
              <w:rPr>
                <w:rFonts w:cs="Arial"/>
                <w:bCs/>
                <w:u w:val="single"/>
              </w:rPr>
              <w:t xml:space="preserve"> 1 :</w:t>
            </w:r>
            <w:r w:rsidRPr="00833196">
              <w:rPr>
                <w:rFonts w:cs="Arial"/>
                <w:bCs/>
              </w:rPr>
              <w:t xml:space="preserve"> lettre de l’écrivain à votre attention</w:t>
            </w:r>
          </w:p>
        </w:tc>
      </w:tr>
      <w:tr w:rsidR="00C20D5B" w:rsidRPr="004E1AAE" w:rsidTr="004455BB">
        <w:trPr>
          <w:trHeight w:val="5371"/>
        </w:trPr>
        <w:tc>
          <w:tcPr>
            <w:tcW w:w="9209" w:type="dxa"/>
          </w:tcPr>
          <w:p w:rsidR="00C20D5B" w:rsidRPr="00833196" w:rsidRDefault="00852AD1" w:rsidP="000454FE">
            <w:pPr>
              <w:spacing w:after="120" w:line="240" w:lineRule="auto"/>
              <w:jc w:val="both"/>
              <w:rPr>
                <w:rFonts w:cs="Arial"/>
              </w:rPr>
            </w:pPr>
            <w:r w:rsidRPr="00833196">
              <w:rPr>
                <w:rFonts w:cs="Arial"/>
              </w:rPr>
              <w:t xml:space="preserve">Bonjour, je suis Jules Servadac, écrivain de roman policier. Je vous sollicite afin de valider quelques aspects scientifiques de mon roman. </w:t>
            </w:r>
          </w:p>
          <w:p w:rsidR="00C20D5B" w:rsidRPr="00833196" w:rsidRDefault="00852AD1" w:rsidP="000454FE">
            <w:pPr>
              <w:spacing w:after="120" w:line="240" w:lineRule="auto"/>
              <w:jc w:val="both"/>
              <w:rPr>
                <w:rFonts w:cs="Arial"/>
              </w:rPr>
            </w:pPr>
            <w:r w:rsidRPr="00833196">
              <w:rPr>
                <w:rFonts w:cs="Arial"/>
              </w:rPr>
              <w:t xml:space="preserve">Voici mes premières lignes : </w:t>
            </w:r>
          </w:p>
          <w:p w:rsidR="00C20D5B" w:rsidRPr="00833196" w:rsidRDefault="00852AD1" w:rsidP="000454FE">
            <w:pPr>
              <w:spacing w:after="120" w:line="240" w:lineRule="auto"/>
              <w:jc w:val="both"/>
              <w:rPr>
                <w:rFonts w:cs="Arial"/>
              </w:rPr>
            </w:pPr>
            <w:r w:rsidRPr="00833196">
              <w:rPr>
                <w:rFonts w:cs="Arial"/>
              </w:rPr>
              <w:t>« Pierre et Marie Curie ont découvert le</w:t>
            </w:r>
            <w:r w:rsidRPr="00833196">
              <w:rPr>
                <w:rFonts w:cs="Arial"/>
              </w:rPr>
              <w:t xml:space="preserve"> polonium, juste avant le radium qui les rendit célèbres. Le polonium-210 (</w:t>
            </w:r>
            <w:r w:rsidRPr="00833196">
              <w:rPr>
                <w:rFonts w:cs="Arial"/>
                <w:vertAlign w:val="superscript"/>
              </w:rPr>
              <w:t>210</w:t>
            </w:r>
            <w:r w:rsidRPr="00833196">
              <w:rPr>
                <w:rFonts w:cs="Arial"/>
              </w:rPr>
              <w:t>Po) est mille fois plus toxique que le plutonium, et un million de fois plus encore que le cyanure. Sachez que dix microgrammes (µg) sont nécessaires pour empoisonner un homme de</w:t>
            </w:r>
            <w:r w:rsidRPr="00833196">
              <w:rPr>
                <w:rFonts w:cs="Arial"/>
              </w:rPr>
              <w:t xml:space="preserve"> poids moyen en quelques semaines et que cette dose mortelle est invisible à</w:t>
            </w:r>
            <w:r>
              <w:rPr>
                <w:rFonts w:cs="Arial"/>
              </w:rPr>
              <w:t xml:space="preserve"> l’œil nu </w:t>
            </w:r>
            <w:r w:rsidRPr="00833196">
              <w:rPr>
                <w:rFonts w:cs="Arial"/>
              </w:rPr>
              <w:t>»</w:t>
            </w:r>
            <w:r>
              <w:rPr>
                <w:rFonts w:cs="Arial"/>
              </w:rPr>
              <w:t>.</w:t>
            </w:r>
          </w:p>
          <w:p w:rsidR="00C20D5B" w:rsidRPr="00833196" w:rsidRDefault="00852AD1" w:rsidP="000454FE">
            <w:pPr>
              <w:spacing w:after="120" w:line="240" w:lineRule="auto"/>
              <w:jc w:val="both"/>
              <w:rPr>
                <w:rFonts w:cs="Arial"/>
              </w:rPr>
            </w:pPr>
            <w:r w:rsidRPr="00833196">
              <w:rPr>
                <w:rFonts w:cs="Arial"/>
              </w:rPr>
              <w:t>Dans mon roman, Tiago, agent secret de Folivie, souhaite s’en servir pour éliminer un agent infiltré. Celui-ci dîne tous les soirs dans le même restaurant : l’agent se</w:t>
            </w:r>
            <w:r w:rsidRPr="00833196">
              <w:rPr>
                <w:rFonts w:cs="Arial"/>
              </w:rPr>
              <w:t>cret compte en profiter pour « </w:t>
            </w:r>
            <w:r>
              <w:rPr>
                <w:rFonts w:cs="Arial"/>
              </w:rPr>
              <w:t>poivrer » à sa façon son dîner.</w:t>
            </w:r>
          </w:p>
          <w:p w:rsidR="00584A62" w:rsidRPr="00833196" w:rsidRDefault="00852AD1" w:rsidP="000454FE">
            <w:pPr>
              <w:spacing w:after="120" w:line="240" w:lineRule="auto"/>
              <w:jc w:val="both"/>
              <w:rPr>
                <w:rFonts w:cs="Arial"/>
              </w:rPr>
            </w:pPr>
            <w:r w:rsidRPr="00833196">
              <w:rPr>
                <w:rFonts w:cs="Arial"/>
              </w:rPr>
              <w:t xml:space="preserve">Pour cela, Tiago doit se procurer du polonium-210. Pour des raisons logistiques, il ne peut récupérer le polonium que 100 jours avant le dîner programmé dans un autre pays. Or le polonium perd </w:t>
            </w:r>
            <w:r w:rsidRPr="00833196">
              <w:rPr>
                <w:rFonts w:cs="Arial"/>
              </w:rPr>
              <w:t>la moitié de sa radioactivité tous les 138 jours.</w:t>
            </w:r>
          </w:p>
          <w:p w:rsidR="00C20D5B" w:rsidRPr="00833196" w:rsidRDefault="00852AD1" w:rsidP="000454FE">
            <w:pPr>
              <w:spacing w:after="120" w:line="240" w:lineRule="auto"/>
              <w:jc w:val="both"/>
              <w:rPr>
                <w:rFonts w:cs="Arial"/>
              </w:rPr>
            </w:pPr>
            <w:r w:rsidRPr="00833196">
              <w:rPr>
                <w:rFonts w:cs="Arial"/>
              </w:rPr>
              <w:t>J’ai deux problèmes à vous soumettre concernant la quantité de polonium que Tiago doit transporter :</w:t>
            </w:r>
          </w:p>
          <w:p w:rsidR="00272850" w:rsidRPr="00833196" w:rsidRDefault="00852AD1" w:rsidP="00CA6813">
            <w:pPr>
              <w:pStyle w:val="Paragraphedeliste"/>
              <w:numPr>
                <w:ilvl w:val="0"/>
                <w:numId w:val="1"/>
              </w:numPr>
              <w:spacing w:after="120" w:line="240" w:lineRule="auto"/>
              <w:ind w:left="714" w:hanging="357"/>
              <w:contextualSpacing w:val="0"/>
              <w:jc w:val="both"/>
              <w:rPr>
                <w:rFonts w:ascii="Arial" w:hAnsi="Arial" w:cs="Arial"/>
                <w:sz w:val="24"/>
                <w:szCs w:val="24"/>
              </w:rPr>
            </w:pPr>
            <w:r w:rsidRPr="00833196">
              <w:rPr>
                <w:rFonts w:ascii="Arial" w:hAnsi="Arial" w:cs="Arial"/>
                <w:sz w:val="24"/>
                <w:szCs w:val="24"/>
              </w:rPr>
              <w:t>Restera-t-il suffisamment de Polonium-210 radioactif à la fin de son voyage ?</w:t>
            </w:r>
          </w:p>
          <w:p w:rsidR="00C20D5B" w:rsidRPr="00833196" w:rsidRDefault="00852AD1" w:rsidP="00CA6813">
            <w:pPr>
              <w:pStyle w:val="Paragraphedeliste"/>
              <w:numPr>
                <w:ilvl w:val="0"/>
                <w:numId w:val="1"/>
              </w:numPr>
              <w:spacing w:after="240" w:line="240" w:lineRule="auto"/>
              <w:ind w:left="714" w:hanging="357"/>
              <w:contextualSpacing w:val="0"/>
              <w:jc w:val="both"/>
              <w:rPr>
                <w:rFonts w:ascii="Arial" w:hAnsi="Arial" w:cs="Arial"/>
                <w:sz w:val="24"/>
                <w:szCs w:val="24"/>
              </w:rPr>
            </w:pPr>
            <w:r w:rsidRPr="00833196">
              <w:rPr>
                <w:rFonts w:ascii="Arial" w:hAnsi="Arial" w:cs="Arial"/>
                <w:sz w:val="24"/>
                <w:szCs w:val="24"/>
              </w:rPr>
              <w:t xml:space="preserve">La dose sera-t-elle </w:t>
            </w:r>
            <w:r w:rsidRPr="00833196">
              <w:rPr>
                <w:rFonts w:ascii="Arial" w:hAnsi="Arial" w:cs="Arial"/>
                <w:sz w:val="24"/>
                <w:szCs w:val="24"/>
              </w:rPr>
              <w:t xml:space="preserve">invisible à l’œil nu ? </w:t>
            </w:r>
          </w:p>
        </w:tc>
      </w:tr>
    </w:tbl>
    <w:p w:rsidR="00C20D5B" w:rsidRPr="004455BB" w:rsidRDefault="00852AD1">
      <w:pPr>
        <w:spacing w:after="0" w:line="240" w:lineRule="auto"/>
        <w:rPr>
          <w:rFonts w:cs="Arial"/>
          <w:sz w:val="16"/>
        </w:rPr>
      </w:pPr>
    </w:p>
    <w:tbl>
      <w:tblPr>
        <w:tblStyle w:val="Grilledutableau"/>
        <w:tblW w:w="9209" w:type="dxa"/>
        <w:tblBorders>
          <w:insideH w:val="none" w:sz="0" w:space="0" w:color="auto"/>
          <w:insideV w:val="none" w:sz="0" w:space="0" w:color="auto"/>
        </w:tblBorders>
        <w:tblLook w:val="04A0" w:firstRow="1" w:lastRow="0" w:firstColumn="1" w:lastColumn="0" w:noHBand="0" w:noVBand="1"/>
      </w:tblPr>
      <w:tblGrid>
        <w:gridCol w:w="9209"/>
      </w:tblGrid>
      <w:tr w:rsidR="00272850" w:rsidRPr="004E1AAE" w:rsidTr="000454FE">
        <w:tc>
          <w:tcPr>
            <w:tcW w:w="9209" w:type="dxa"/>
          </w:tcPr>
          <w:p w:rsidR="00272850" w:rsidRPr="00833196" w:rsidRDefault="00852AD1" w:rsidP="00CA6813">
            <w:pPr>
              <w:spacing w:before="120" w:after="120" w:line="240" w:lineRule="auto"/>
              <w:rPr>
                <w:rFonts w:cs="Arial"/>
                <w:bCs/>
              </w:rPr>
            </w:pPr>
            <w:r w:rsidRPr="000454FE">
              <w:rPr>
                <w:rFonts w:cs="Arial"/>
                <w:bCs/>
                <w:u w:val="single"/>
              </w:rPr>
              <w:t>Document 2 :</w:t>
            </w:r>
            <w:r w:rsidRPr="00833196">
              <w:rPr>
                <w:rFonts w:cs="Arial"/>
                <w:bCs/>
              </w:rPr>
              <w:t xml:space="preserve"> données relatives au polonium</w:t>
            </w:r>
          </w:p>
        </w:tc>
      </w:tr>
      <w:tr w:rsidR="00272850" w:rsidRPr="004E1AAE" w:rsidTr="000454FE">
        <w:tc>
          <w:tcPr>
            <w:tcW w:w="9209" w:type="dxa"/>
          </w:tcPr>
          <w:p w:rsidR="00272850" w:rsidRPr="00265FCE" w:rsidRDefault="00852AD1" w:rsidP="00272850">
            <w:pPr>
              <w:spacing w:after="120" w:line="240" w:lineRule="auto"/>
              <w:rPr>
                <w:rFonts w:cs="Arial"/>
              </w:rPr>
            </w:pPr>
            <w:r w:rsidRPr="00833196">
              <w:rPr>
                <w:rFonts w:cs="Arial"/>
              </w:rPr>
              <w:t xml:space="preserve">Le polonium est </w:t>
            </w:r>
            <w:r>
              <w:rPr>
                <w:rFonts w:cs="Arial"/>
              </w:rPr>
              <w:t>l’</w:t>
            </w:r>
            <w:r w:rsidRPr="00833196">
              <w:rPr>
                <w:rFonts w:cs="Arial"/>
              </w:rPr>
              <w:t xml:space="preserve">un des rares </w:t>
            </w:r>
            <w:r w:rsidRPr="00265FCE">
              <w:rPr>
                <w:rFonts w:cs="Arial"/>
              </w:rPr>
              <w:t>éléments à cristalliser dans le réseau cubique simple.</w:t>
            </w:r>
          </w:p>
          <w:p w:rsidR="00272850" w:rsidRPr="00265FCE" w:rsidRDefault="00852AD1" w:rsidP="00D5125F">
            <w:pPr>
              <w:spacing w:after="120" w:line="240" w:lineRule="auto"/>
              <w:ind w:left="164"/>
              <w:rPr>
                <w:rFonts w:cs="Arial"/>
              </w:rPr>
            </w:pPr>
            <w:r w:rsidRPr="00265FCE">
              <w:rPr>
                <w:rFonts w:cs="Arial"/>
              </w:rPr>
              <w:t>Paramètre de maille : a = 3,359 x 10</w:t>
            </w:r>
            <w:r w:rsidRPr="00265FCE">
              <w:rPr>
                <w:rFonts w:cs="Arial"/>
                <w:vertAlign w:val="superscript"/>
              </w:rPr>
              <w:t>-10</w:t>
            </w:r>
            <w:r w:rsidRPr="00265FCE">
              <w:rPr>
                <w:rFonts w:cs="Arial"/>
              </w:rPr>
              <w:t xml:space="preserve"> m</w:t>
            </w:r>
            <w:r>
              <w:rPr>
                <w:rFonts w:cs="Arial"/>
              </w:rPr>
              <w:t>.</w:t>
            </w:r>
          </w:p>
          <w:p w:rsidR="00272850" w:rsidRPr="00265FCE" w:rsidRDefault="00852AD1" w:rsidP="00D5125F">
            <w:pPr>
              <w:spacing w:after="120" w:line="240" w:lineRule="auto"/>
              <w:ind w:left="164"/>
              <w:rPr>
                <w:rFonts w:cs="Arial"/>
                <w:vertAlign w:val="superscript"/>
              </w:rPr>
            </w:pPr>
            <w:r w:rsidRPr="00265FCE">
              <w:rPr>
                <w:rFonts w:cs="Arial"/>
              </w:rPr>
              <w:t>Masse molaire du polonium : M(Po) = 209,98 g</w:t>
            </w:r>
            <w:r>
              <w:rPr>
                <w:rFonts w:cs="Arial"/>
              </w:rPr>
              <w:t>∙</w:t>
            </w:r>
            <w:r w:rsidRPr="00265FCE">
              <w:rPr>
                <w:rFonts w:cs="Arial"/>
              </w:rPr>
              <w:t>mol</w:t>
            </w:r>
            <w:r w:rsidRPr="00265FCE">
              <w:rPr>
                <w:rFonts w:cs="Arial"/>
                <w:vertAlign w:val="superscript"/>
              </w:rPr>
              <w:t>-1</w:t>
            </w:r>
            <w:r w:rsidRPr="00D5125F">
              <w:rPr>
                <w:rFonts w:cs="Arial"/>
              </w:rPr>
              <w:t>.</w:t>
            </w:r>
          </w:p>
          <w:p w:rsidR="00272850" w:rsidRDefault="00852AD1" w:rsidP="00D5125F">
            <w:pPr>
              <w:spacing w:after="120" w:line="240" w:lineRule="auto"/>
              <w:ind w:left="164"/>
              <w:rPr>
                <w:rFonts w:cs="Arial"/>
                <w:vertAlign w:val="subscript"/>
              </w:rPr>
            </w:pPr>
            <w:r w:rsidRPr="00265FCE">
              <w:rPr>
                <w:rFonts w:cs="Arial"/>
              </w:rPr>
              <w:t>Donnée complémentaire : nombre d’Avogadro N</w:t>
            </w:r>
            <w:r w:rsidRPr="00265FCE">
              <w:rPr>
                <w:rFonts w:cs="Arial"/>
                <w:vertAlign w:val="subscript"/>
              </w:rPr>
              <w:t>A</w:t>
            </w:r>
            <w:r w:rsidRPr="00265FCE">
              <w:rPr>
                <w:rFonts w:cs="Arial"/>
              </w:rPr>
              <w:t xml:space="preserve"> = 6,022 x 10</w:t>
            </w:r>
            <w:r w:rsidRPr="00265FCE">
              <w:rPr>
                <w:rFonts w:cs="Arial"/>
                <w:vertAlign w:val="superscript"/>
              </w:rPr>
              <w:t>23</w:t>
            </w:r>
            <w:r w:rsidRPr="00265FCE">
              <w:rPr>
                <w:rFonts w:cs="Arial"/>
              </w:rPr>
              <w:t xml:space="preserve"> mol</w:t>
            </w:r>
            <w:r w:rsidRPr="00265FCE">
              <w:rPr>
                <w:rFonts w:cs="Arial"/>
                <w:vertAlign w:val="superscript"/>
              </w:rPr>
              <w:t>-1</w:t>
            </w:r>
            <w:r w:rsidRPr="00D5125F">
              <w:rPr>
                <w:rFonts w:cs="Arial"/>
              </w:rPr>
              <w:t>.</w:t>
            </w:r>
          </w:p>
          <w:p w:rsidR="00265FCE" w:rsidRPr="00833196" w:rsidRDefault="00852AD1" w:rsidP="00D5125F">
            <w:pPr>
              <w:spacing w:after="120" w:line="240" w:lineRule="auto"/>
              <w:jc w:val="both"/>
              <w:rPr>
                <w:rFonts w:cs="Arial"/>
                <w:vertAlign w:val="subscript"/>
              </w:rPr>
            </w:pPr>
            <w:r w:rsidRPr="00833196">
              <w:rPr>
                <w:rFonts w:cs="Arial"/>
              </w:rPr>
              <w:t>Il est rappelé que la masse molaire d’un élément est la masse d’une mole de quan</w:t>
            </w:r>
            <w:r>
              <w:rPr>
                <w:rFonts w:cs="Arial"/>
              </w:rPr>
              <w:t>tité de matière de cet élément.</w:t>
            </w:r>
          </w:p>
        </w:tc>
      </w:tr>
    </w:tbl>
    <w:p w:rsidR="00EC53C5" w:rsidRPr="00EC53C5" w:rsidRDefault="00852AD1" w:rsidP="00833196">
      <w:pPr>
        <w:spacing w:after="0" w:line="240" w:lineRule="auto"/>
        <w:jc w:val="both"/>
        <w:rPr>
          <w:rFonts w:cs="Arial"/>
          <w:u w:val="single"/>
        </w:rPr>
      </w:pPr>
      <w:r w:rsidRPr="00EC53C5">
        <w:rPr>
          <w:rFonts w:cs="Arial"/>
          <w:u w:val="single"/>
        </w:rPr>
        <w:lastRenderedPageBreak/>
        <w:t>Partie 1 : la radioactivité du polonium</w:t>
      </w:r>
    </w:p>
    <w:p w:rsidR="00545551" w:rsidRPr="00833196" w:rsidRDefault="00852AD1" w:rsidP="00833196">
      <w:pPr>
        <w:spacing w:after="0" w:line="240" w:lineRule="auto"/>
        <w:jc w:val="both"/>
        <w:rPr>
          <w:rFonts w:cs="Arial"/>
        </w:rPr>
      </w:pPr>
      <w:r w:rsidRPr="00833196">
        <w:rPr>
          <w:rFonts w:cs="Arial"/>
        </w:rPr>
        <w:t xml:space="preserve"> </w:t>
      </w:r>
    </w:p>
    <w:p w:rsidR="00545551" w:rsidRPr="00833196" w:rsidRDefault="00852AD1" w:rsidP="00833196">
      <w:pPr>
        <w:spacing w:after="0" w:line="240" w:lineRule="auto"/>
        <w:jc w:val="both"/>
        <w:rPr>
          <w:rFonts w:cs="Arial"/>
        </w:rPr>
      </w:pPr>
      <w:r w:rsidRPr="00833196">
        <w:rPr>
          <w:rFonts w:cs="Arial"/>
        </w:rPr>
        <w:t>L’objectif est ici de vérifier qu’</w:t>
      </w:r>
      <w:r w:rsidRPr="00833196">
        <w:rPr>
          <w:rFonts w:cs="Arial"/>
        </w:rPr>
        <w:t xml:space="preserve">en partant avec 20 µg de polonium-210, il restera suffisamment de polonium radioactif à l’issue du voyage. </w:t>
      </w:r>
    </w:p>
    <w:p w:rsidR="00545551" w:rsidRPr="00833196" w:rsidRDefault="00852AD1" w:rsidP="00833196">
      <w:pPr>
        <w:spacing w:after="0" w:line="240" w:lineRule="auto"/>
        <w:jc w:val="both"/>
        <w:rPr>
          <w:rFonts w:cs="Arial"/>
        </w:rPr>
      </w:pPr>
    </w:p>
    <w:p w:rsidR="00545551" w:rsidRPr="00833196" w:rsidRDefault="00852AD1" w:rsidP="00E80C94">
      <w:pPr>
        <w:pBdr>
          <w:top w:val="single" w:sz="4" w:space="6" w:color="auto"/>
          <w:left w:val="single" w:sz="4" w:space="4" w:color="auto"/>
          <w:bottom w:val="single" w:sz="4" w:space="6" w:color="auto"/>
          <w:right w:val="single" w:sz="4" w:space="4" w:color="auto"/>
          <w:bar w:val="single" w:sz="4" w:color="auto"/>
        </w:pBdr>
        <w:spacing w:after="0" w:line="240" w:lineRule="auto"/>
        <w:jc w:val="both"/>
        <w:rPr>
          <w:rFonts w:cs="Arial"/>
        </w:rPr>
      </w:pPr>
      <w:r w:rsidRPr="00E80C94">
        <w:rPr>
          <w:rFonts w:cs="Arial"/>
          <w:u w:val="single"/>
        </w:rPr>
        <w:t>Document 3 :</w:t>
      </w:r>
      <w:r w:rsidRPr="00833196">
        <w:rPr>
          <w:rFonts w:cs="Arial"/>
        </w:rPr>
        <w:t xml:space="preserve"> courbe de décroissance radioactive du polonium</w:t>
      </w:r>
    </w:p>
    <w:p w:rsidR="00545551" w:rsidRPr="00833196" w:rsidRDefault="00852AD1" w:rsidP="00E80C94">
      <w:pPr>
        <w:pBdr>
          <w:top w:val="single" w:sz="4" w:space="6" w:color="auto"/>
          <w:left w:val="single" w:sz="4" w:space="4" w:color="auto"/>
          <w:bottom w:val="single" w:sz="4" w:space="6" w:color="auto"/>
          <w:right w:val="single" w:sz="4" w:space="4" w:color="auto"/>
          <w:between w:val="single" w:sz="4" w:space="1" w:color="auto"/>
          <w:bar w:val="single" w:sz="4" w:color="auto"/>
        </w:pBdr>
        <w:spacing w:after="0" w:line="240" w:lineRule="auto"/>
        <w:jc w:val="both"/>
        <w:rPr>
          <w:rFonts w:cs="Arial"/>
        </w:rPr>
      </w:pPr>
      <w:r w:rsidRPr="00833196">
        <w:rPr>
          <w:rFonts w:cs="Arial"/>
          <w:noProof/>
        </w:rPr>
        <w:drawing>
          <wp:inline distT="0" distB="0" distL="0" distR="0" wp14:anchorId="61A4948C" wp14:editId="5BC91CAD">
            <wp:extent cx="5795890" cy="3362179"/>
            <wp:effectExtent l="0" t="0" r="0" b="0"/>
            <wp:docPr id="5" name="Graphique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45551" w:rsidRPr="00833196" w:rsidRDefault="00852AD1" w:rsidP="00833196">
      <w:pPr>
        <w:tabs>
          <w:tab w:val="left" w:pos="6735"/>
        </w:tabs>
        <w:spacing w:after="0" w:line="240" w:lineRule="auto"/>
        <w:jc w:val="both"/>
        <w:rPr>
          <w:rFonts w:cs="Arial"/>
        </w:rPr>
      </w:pPr>
      <w:r>
        <w:rPr>
          <w:rFonts w:cs="Arial"/>
        </w:rPr>
        <w:tab/>
      </w:r>
    </w:p>
    <w:p w:rsidR="00311A83" w:rsidRPr="00833196" w:rsidRDefault="00852AD1" w:rsidP="00833196">
      <w:pPr>
        <w:spacing w:after="0" w:line="240" w:lineRule="auto"/>
        <w:jc w:val="both"/>
        <w:rPr>
          <w:rFonts w:cs="Arial"/>
          <w:bCs/>
        </w:rPr>
      </w:pPr>
      <w:r w:rsidRPr="00543F3C">
        <w:rPr>
          <w:rFonts w:cs="Arial"/>
          <w:b/>
          <w:bCs/>
        </w:rPr>
        <w:t>1-</w:t>
      </w:r>
      <w:r>
        <w:rPr>
          <w:rFonts w:cs="Arial"/>
          <w:bCs/>
        </w:rPr>
        <w:t xml:space="preserve"> </w:t>
      </w:r>
      <w:r>
        <w:rPr>
          <w:rFonts w:cs="Arial"/>
        </w:rPr>
        <w:t xml:space="preserve">Déterminer en </w:t>
      </w:r>
      <w:r w:rsidRPr="00EB235B">
        <w:rPr>
          <w:rFonts w:cs="Arial"/>
        </w:rPr>
        <w:t>µg</w:t>
      </w:r>
      <w:r>
        <w:rPr>
          <w:rFonts w:cs="Arial"/>
        </w:rPr>
        <w:t xml:space="preserve"> la masse initiale de Polonium présente dans l’échantillon utilisé pour réaliser le graphique du document 3. </w:t>
      </w:r>
    </w:p>
    <w:p w:rsidR="00F9285C" w:rsidRPr="00833196" w:rsidRDefault="00852AD1" w:rsidP="00833196">
      <w:pPr>
        <w:spacing w:after="0" w:line="240" w:lineRule="auto"/>
        <w:ind w:left="360"/>
        <w:jc w:val="both"/>
        <w:rPr>
          <w:rFonts w:cs="Arial"/>
        </w:rPr>
      </w:pPr>
    </w:p>
    <w:p w:rsidR="00293D9A" w:rsidRPr="00833196" w:rsidRDefault="00852AD1" w:rsidP="00833196">
      <w:pPr>
        <w:spacing w:after="0" w:line="240" w:lineRule="auto"/>
        <w:jc w:val="both"/>
        <w:rPr>
          <w:rFonts w:cs="Arial"/>
        </w:rPr>
      </w:pPr>
      <w:r w:rsidRPr="00543F3C">
        <w:rPr>
          <w:rFonts w:cs="Arial"/>
          <w:b/>
        </w:rPr>
        <w:t>2-</w:t>
      </w:r>
      <w:r>
        <w:rPr>
          <w:rFonts w:cs="Arial"/>
        </w:rPr>
        <w:t xml:space="preserve"> </w:t>
      </w:r>
      <w:r w:rsidRPr="00833196">
        <w:rPr>
          <w:rFonts w:cs="Arial"/>
        </w:rPr>
        <w:t>Jules Servadac écrit dans son roman : « Le polonium perd la moitié de sa radioactivité tous les 138 jours ».</w:t>
      </w:r>
    </w:p>
    <w:p w:rsidR="00833196" w:rsidRDefault="00852AD1" w:rsidP="00833196">
      <w:pPr>
        <w:spacing w:after="0" w:line="240" w:lineRule="auto"/>
        <w:ind w:left="360"/>
        <w:jc w:val="both"/>
        <w:rPr>
          <w:rFonts w:cs="Arial"/>
          <w:bCs/>
        </w:rPr>
      </w:pPr>
    </w:p>
    <w:p w:rsidR="00293D9A" w:rsidRDefault="00852AD1" w:rsidP="00833196">
      <w:pPr>
        <w:spacing w:after="0" w:line="240" w:lineRule="auto"/>
        <w:jc w:val="both"/>
        <w:rPr>
          <w:rFonts w:cs="Arial"/>
        </w:rPr>
      </w:pPr>
      <w:r w:rsidRPr="00543F3C">
        <w:rPr>
          <w:rFonts w:cs="Arial"/>
          <w:b/>
          <w:bCs/>
        </w:rPr>
        <w:t>2-a-</w:t>
      </w:r>
      <w:r w:rsidRPr="00330716">
        <w:rPr>
          <w:rFonts w:cs="Arial"/>
        </w:rPr>
        <w:t xml:space="preserve"> </w:t>
      </w:r>
      <w:r>
        <w:rPr>
          <w:rFonts w:cs="Arial"/>
        </w:rPr>
        <w:t>Définir scientifiquement la</w:t>
      </w:r>
      <w:r>
        <w:rPr>
          <w:rFonts w:cs="Arial"/>
        </w:rPr>
        <w:t xml:space="preserve"> grandeur physique sur laquelle il appuie cette affirmation, en donnant son nom</w:t>
      </w:r>
      <w:r w:rsidRPr="00330716">
        <w:rPr>
          <w:rFonts w:cs="Arial"/>
        </w:rPr>
        <w:t>.</w:t>
      </w:r>
    </w:p>
    <w:p w:rsidR="00833196" w:rsidRPr="00330716" w:rsidRDefault="00852AD1" w:rsidP="00833196">
      <w:pPr>
        <w:spacing w:after="0" w:line="240" w:lineRule="auto"/>
        <w:jc w:val="both"/>
        <w:rPr>
          <w:rFonts w:cs="Arial"/>
        </w:rPr>
      </w:pPr>
    </w:p>
    <w:p w:rsidR="00293D9A" w:rsidRPr="00833196" w:rsidRDefault="00852AD1" w:rsidP="00833196">
      <w:pPr>
        <w:spacing w:after="0" w:line="240" w:lineRule="auto"/>
        <w:jc w:val="both"/>
        <w:rPr>
          <w:rFonts w:cs="Arial"/>
        </w:rPr>
      </w:pPr>
      <w:r w:rsidRPr="00543F3C">
        <w:rPr>
          <w:rFonts w:cs="Arial"/>
          <w:b/>
          <w:bCs/>
        </w:rPr>
        <w:t>2-b-</w:t>
      </w:r>
      <w:r w:rsidRPr="00833196">
        <w:rPr>
          <w:rFonts w:cs="Arial"/>
        </w:rPr>
        <w:t xml:space="preserve"> La faire figurer sur le graphique du document réponse à rendre avec la copie en laissant apparents les traits de construction. </w:t>
      </w:r>
    </w:p>
    <w:p w:rsidR="00464849" w:rsidRPr="00833196" w:rsidRDefault="00852AD1" w:rsidP="00833196">
      <w:pPr>
        <w:pStyle w:val="Paragraphedeliste"/>
        <w:spacing w:after="0" w:line="240" w:lineRule="auto"/>
        <w:ind w:left="360"/>
        <w:jc w:val="both"/>
        <w:rPr>
          <w:rFonts w:ascii="Arial" w:hAnsi="Arial" w:cs="Arial"/>
          <w:sz w:val="24"/>
          <w:szCs w:val="24"/>
        </w:rPr>
      </w:pPr>
    </w:p>
    <w:p w:rsidR="00893301" w:rsidRDefault="00852AD1" w:rsidP="00893301">
      <w:pPr>
        <w:jc w:val="both"/>
        <w:rPr>
          <w:rFonts w:cs="Arial"/>
        </w:rPr>
      </w:pPr>
      <w:r w:rsidRPr="00543F3C">
        <w:rPr>
          <w:rFonts w:cs="Arial"/>
          <w:b/>
        </w:rPr>
        <w:t>3-</w:t>
      </w:r>
      <w:r>
        <w:rPr>
          <w:rFonts w:cs="Arial"/>
        </w:rPr>
        <w:t xml:space="preserve"> </w:t>
      </w:r>
      <w:r w:rsidRPr="00833196">
        <w:rPr>
          <w:rFonts w:cs="Arial"/>
        </w:rPr>
        <w:t>Justifier par la méthode de votre cho</w:t>
      </w:r>
      <w:r w:rsidRPr="00833196">
        <w:rPr>
          <w:rFonts w:cs="Arial"/>
        </w:rPr>
        <w:t>ix que</w:t>
      </w:r>
      <w:r>
        <w:rPr>
          <w:rFonts w:cs="Arial"/>
        </w:rPr>
        <w:t>,</w:t>
      </w:r>
      <w:r w:rsidRPr="00833196">
        <w:rPr>
          <w:rFonts w:cs="Arial"/>
        </w:rPr>
        <w:t xml:space="preserve"> </w:t>
      </w:r>
      <w:r>
        <w:rPr>
          <w:rFonts w:cs="Arial"/>
        </w:rPr>
        <w:t>pour l’échantillon considéré, l</w:t>
      </w:r>
      <w:r w:rsidRPr="00833196">
        <w:rPr>
          <w:rFonts w:cs="Arial"/>
        </w:rPr>
        <w:t xml:space="preserve">a quantité de polonium restant après le voyage sera suffisante pour accomplir la mission. </w:t>
      </w:r>
    </w:p>
    <w:p w:rsidR="00893301" w:rsidRDefault="00852AD1">
      <w:pPr>
        <w:spacing w:after="0" w:line="240" w:lineRule="auto"/>
        <w:rPr>
          <w:rFonts w:cs="Arial"/>
        </w:rPr>
      </w:pPr>
      <w:r>
        <w:rPr>
          <w:rFonts w:cs="Arial"/>
        </w:rPr>
        <w:br w:type="page"/>
      </w:r>
    </w:p>
    <w:p w:rsidR="00893301" w:rsidRDefault="00852AD1" w:rsidP="00833196">
      <w:pPr>
        <w:spacing w:after="0" w:line="240" w:lineRule="auto"/>
        <w:jc w:val="both"/>
      </w:pPr>
    </w:p>
    <w:p w:rsidR="001B0037" w:rsidRPr="00A77301" w:rsidRDefault="00852AD1" w:rsidP="00833196">
      <w:pPr>
        <w:spacing w:after="0" w:line="240" w:lineRule="auto"/>
        <w:jc w:val="both"/>
        <w:rPr>
          <w:rFonts w:cs="Arial"/>
          <w:u w:val="single"/>
        </w:rPr>
      </w:pPr>
      <w:r w:rsidRPr="00A77301">
        <w:rPr>
          <w:rFonts w:cs="Arial"/>
          <w:u w:val="single"/>
        </w:rPr>
        <w:t>Partie 2 : la structure du polonium</w:t>
      </w:r>
    </w:p>
    <w:p w:rsidR="00A77301" w:rsidRPr="00833196" w:rsidRDefault="00852AD1" w:rsidP="00833196">
      <w:pPr>
        <w:spacing w:after="0" w:line="240" w:lineRule="auto"/>
        <w:jc w:val="both"/>
        <w:rPr>
          <w:rFonts w:cs="Arial"/>
        </w:rPr>
      </w:pPr>
    </w:p>
    <w:p w:rsidR="001B0037" w:rsidRPr="00833196" w:rsidRDefault="00852AD1" w:rsidP="00833196">
      <w:pPr>
        <w:spacing w:after="0" w:line="240" w:lineRule="auto"/>
        <w:jc w:val="both"/>
        <w:rPr>
          <w:rFonts w:cs="Arial"/>
        </w:rPr>
      </w:pPr>
      <w:r w:rsidRPr="00833196">
        <w:rPr>
          <w:rFonts w:cs="Arial"/>
        </w:rPr>
        <w:t>L’objectif est ici de vérifier que les 10 µg de polonium dont Tiago a besoin pour empo</w:t>
      </w:r>
      <w:r w:rsidRPr="00833196">
        <w:rPr>
          <w:rFonts w:cs="Arial"/>
        </w:rPr>
        <w:t xml:space="preserve">isonner l’agent infiltré sont bien invisibles à l’œil nu. </w:t>
      </w:r>
    </w:p>
    <w:p w:rsidR="001B0037" w:rsidRPr="00833196" w:rsidRDefault="00852AD1" w:rsidP="00833196">
      <w:pPr>
        <w:spacing w:after="0" w:line="240" w:lineRule="auto"/>
        <w:jc w:val="both"/>
        <w:rPr>
          <w:rFonts w:cs="Arial"/>
        </w:rPr>
      </w:pPr>
    </w:p>
    <w:p w:rsidR="001B0037" w:rsidRDefault="00852AD1" w:rsidP="00833196">
      <w:pPr>
        <w:spacing w:after="0" w:line="240" w:lineRule="auto"/>
        <w:jc w:val="both"/>
        <w:rPr>
          <w:rFonts w:cs="Arial"/>
        </w:rPr>
      </w:pPr>
      <w:r w:rsidRPr="00893301">
        <w:rPr>
          <w:rFonts w:cs="Arial"/>
          <w:b/>
        </w:rPr>
        <w:t>4-</w:t>
      </w:r>
      <w:r w:rsidRPr="2445BFE9">
        <w:rPr>
          <w:rFonts w:cs="Arial"/>
        </w:rPr>
        <w:t xml:space="preserve"> À partir de vos connaissances et des informations apportées par le document 3, répondre aux questions suivantes :</w:t>
      </w:r>
    </w:p>
    <w:p w:rsidR="00833196" w:rsidRPr="00311A83" w:rsidRDefault="00852AD1" w:rsidP="00833196">
      <w:pPr>
        <w:spacing w:after="0" w:line="240" w:lineRule="auto"/>
        <w:jc w:val="both"/>
        <w:rPr>
          <w:rFonts w:cs="Arial"/>
        </w:rPr>
      </w:pPr>
    </w:p>
    <w:p w:rsidR="001B0037" w:rsidRPr="00833196" w:rsidRDefault="00852AD1" w:rsidP="00833196">
      <w:pPr>
        <w:spacing w:after="0" w:line="240" w:lineRule="auto"/>
        <w:jc w:val="both"/>
        <w:rPr>
          <w:rFonts w:cs="Arial"/>
        </w:rPr>
      </w:pPr>
      <w:r w:rsidRPr="00893301">
        <w:rPr>
          <w:rFonts w:cs="Arial"/>
          <w:b/>
          <w:bCs/>
        </w:rPr>
        <w:t>4-a-</w:t>
      </w:r>
      <w:r w:rsidRPr="00833196">
        <w:rPr>
          <w:rFonts w:cs="Arial"/>
        </w:rPr>
        <w:t xml:space="preserve"> Représenter la structure cubique simple du polonium en perspective </w:t>
      </w:r>
      <w:r w:rsidRPr="00833196">
        <w:rPr>
          <w:rFonts w:cs="Arial"/>
        </w:rPr>
        <w:t>cavalière.</w:t>
      </w:r>
    </w:p>
    <w:p w:rsidR="00833196" w:rsidRDefault="00852AD1" w:rsidP="00833196">
      <w:pPr>
        <w:spacing w:after="0" w:line="240" w:lineRule="auto"/>
        <w:jc w:val="both"/>
        <w:rPr>
          <w:rFonts w:cs="Arial"/>
          <w:bCs/>
        </w:rPr>
      </w:pPr>
    </w:p>
    <w:p w:rsidR="001B0037" w:rsidRPr="00833196" w:rsidRDefault="00852AD1" w:rsidP="00833196">
      <w:pPr>
        <w:spacing w:after="0" w:line="240" w:lineRule="auto"/>
        <w:jc w:val="both"/>
        <w:rPr>
          <w:rFonts w:cs="Arial"/>
        </w:rPr>
      </w:pPr>
      <w:r w:rsidRPr="00893301">
        <w:rPr>
          <w:rFonts w:cs="Arial"/>
          <w:b/>
          <w:bCs/>
        </w:rPr>
        <w:t>4-b-</w:t>
      </w:r>
      <w:r w:rsidRPr="00833196">
        <w:rPr>
          <w:rFonts w:cs="Arial"/>
        </w:rPr>
        <w:t xml:space="preserve"> Dénombrer, en indiquant les calculs effectués, les atomes par maille.</w:t>
      </w:r>
    </w:p>
    <w:p w:rsidR="00E01D28" w:rsidRPr="00833196" w:rsidRDefault="00852AD1" w:rsidP="00833196">
      <w:pPr>
        <w:spacing w:after="0" w:line="240" w:lineRule="auto"/>
        <w:ind w:left="360"/>
        <w:jc w:val="both"/>
        <w:rPr>
          <w:rFonts w:cs="Arial"/>
        </w:rPr>
      </w:pPr>
    </w:p>
    <w:p w:rsidR="001B0037" w:rsidRPr="00833196" w:rsidRDefault="00852AD1" w:rsidP="00833196">
      <w:pPr>
        <w:spacing w:after="0" w:line="240" w:lineRule="auto"/>
        <w:jc w:val="both"/>
        <w:rPr>
          <w:rFonts w:cs="Arial"/>
        </w:rPr>
      </w:pPr>
      <w:r w:rsidRPr="00893301">
        <w:rPr>
          <w:rFonts w:cs="Arial"/>
          <w:b/>
        </w:rPr>
        <w:t>5-</w:t>
      </w:r>
      <w:r w:rsidRPr="5B60DADB">
        <w:rPr>
          <w:rFonts w:cs="Arial"/>
        </w:rPr>
        <w:t xml:space="preserve"> Montrer que la masse volumique du polonium est de 9,20 x 10</w:t>
      </w:r>
      <w:r w:rsidRPr="5B60DADB">
        <w:rPr>
          <w:rFonts w:cs="Arial"/>
          <w:vertAlign w:val="superscript"/>
        </w:rPr>
        <w:t>6</w:t>
      </w:r>
      <w:r w:rsidRPr="5B60DADB">
        <w:rPr>
          <w:rFonts w:cs="Arial"/>
        </w:rPr>
        <w:t xml:space="preserve"> g.m</w:t>
      </w:r>
      <w:r w:rsidRPr="5B60DADB">
        <w:rPr>
          <w:rFonts w:cs="Arial"/>
          <w:vertAlign w:val="superscript"/>
        </w:rPr>
        <w:t>-3</w:t>
      </w:r>
      <w:r w:rsidRPr="5B60DADB">
        <w:rPr>
          <w:rFonts w:cs="Arial"/>
        </w:rPr>
        <w:t>.</w:t>
      </w:r>
    </w:p>
    <w:p w:rsidR="001B0037" w:rsidRPr="00833196" w:rsidRDefault="00852AD1" w:rsidP="00833196">
      <w:pPr>
        <w:pStyle w:val="Paragraphedeliste"/>
        <w:spacing w:after="0" w:line="240" w:lineRule="auto"/>
        <w:ind w:left="360"/>
        <w:jc w:val="both"/>
        <w:rPr>
          <w:rFonts w:ascii="Arial" w:hAnsi="Arial" w:cs="Arial"/>
          <w:sz w:val="24"/>
          <w:szCs w:val="24"/>
        </w:rPr>
      </w:pPr>
    </w:p>
    <w:p w:rsidR="004E1AAE" w:rsidRDefault="00852AD1" w:rsidP="5B60DADB">
      <w:pPr>
        <w:spacing w:after="0" w:line="240" w:lineRule="auto"/>
        <w:jc w:val="both"/>
        <w:rPr>
          <w:rFonts w:cs="Arial"/>
        </w:rPr>
      </w:pPr>
      <w:r w:rsidRPr="00893301">
        <w:rPr>
          <w:rFonts w:cs="Arial"/>
          <w:b/>
        </w:rPr>
        <w:t>6-</w:t>
      </w:r>
      <w:r w:rsidRPr="5B60DADB">
        <w:rPr>
          <w:rFonts w:cs="Arial"/>
        </w:rPr>
        <w:t xml:space="preserve"> Comparaison avec la taille d’un grain de poivre.</w:t>
      </w:r>
    </w:p>
    <w:p w:rsidR="00833196" w:rsidRPr="00893301" w:rsidRDefault="00852AD1" w:rsidP="00833196">
      <w:pPr>
        <w:spacing w:after="0" w:line="240" w:lineRule="auto"/>
        <w:jc w:val="both"/>
        <w:rPr>
          <w:rFonts w:cs="Arial"/>
          <w:b/>
          <w:bCs/>
        </w:rPr>
      </w:pPr>
    </w:p>
    <w:p w:rsidR="001B0037" w:rsidRPr="00833196" w:rsidRDefault="00852AD1" w:rsidP="00833196">
      <w:pPr>
        <w:spacing w:after="0" w:line="240" w:lineRule="auto"/>
        <w:jc w:val="both"/>
        <w:rPr>
          <w:rFonts w:cs="Arial"/>
        </w:rPr>
      </w:pPr>
      <w:r w:rsidRPr="00893301">
        <w:rPr>
          <w:rFonts w:cs="Arial"/>
          <w:b/>
          <w:bCs/>
        </w:rPr>
        <w:t>6-a-</w:t>
      </w:r>
      <w:r w:rsidRPr="00833196">
        <w:rPr>
          <w:rFonts w:cs="Arial"/>
        </w:rPr>
        <w:t xml:space="preserve"> Calculer le volume occupé par la masse</w:t>
      </w:r>
      <w:r w:rsidRPr="00833196">
        <w:rPr>
          <w:rFonts w:cs="Arial"/>
        </w:rPr>
        <w:t xml:space="preserve"> de polonium utilisée par Tiago (10</w:t>
      </w:r>
      <w:r>
        <w:rPr>
          <w:rFonts w:cs="Arial"/>
        </w:rPr>
        <w:t> </w:t>
      </w:r>
      <w:r w:rsidRPr="00833196">
        <w:rPr>
          <w:rFonts w:cs="Arial"/>
        </w:rPr>
        <w:t>µg</w:t>
      </w:r>
      <w:r>
        <w:rPr>
          <w:rFonts w:cs="Arial"/>
        </w:rPr>
        <w:t>)</w:t>
      </w:r>
      <w:r w:rsidRPr="00833196">
        <w:rPr>
          <w:rFonts w:cs="Arial"/>
        </w:rPr>
        <w:t>.</w:t>
      </w:r>
    </w:p>
    <w:p w:rsidR="00833196" w:rsidRDefault="00852AD1" w:rsidP="00833196">
      <w:pPr>
        <w:spacing w:after="0" w:line="240" w:lineRule="auto"/>
        <w:jc w:val="both"/>
        <w:rPr>
          <w:rFonts w:cs="Arial"/>
          <w:bCs/>
        </w:rPr>
      </w:pPr>
    </w:p>
    <w:p w:rsidR="00833196" w:rsidRDefault="00852AD1" w:rsidP="00833196">
      <w:pPr>
        <w:spacing w:after="0" w:line="240" w:lineRule="auto"/>
        <w:jc w:val="both"/>
        <w:rPr>
          <w:rFonts w:cs="Arial"/>
        </w:rPr>
      </w:pPr>
      <w:r w:rsidRPr="00893301">
        <w:rPr>
          <w:rFonts w:cs="Arial"/>
          <w:b/>
          <w:bCs/>
        </w:rPr>
        <w:t>6-b-</w:t>
      </w:r>
      <w:r w:rsidRPr="00833196">
        <w:rPr>
          <w:rFonts w:cs="Arial"/>
        </w:rPr>
        <w:t xml:space="preserve"> Sachant qu’un grain de poivre broyé occupe un volume d’environ 10</w:t>
      </w:r>
      <w:r w:rsidRPr="00833196">
        <w:rPr>
          <w:rFonts w:cs="Arial"/>
          <w:vertAlign w:val="superscript"/>
        </w:rPr>
        <w:t>-10</w:t>
      </w:r>
      <w:r w:rsidRPr="00833196">
        <w:rPr>
          <w:rFonts w:cs="Arial"/>
        </w:rPr>
        <w:t xml:space="preserve"> m</w:t>
      </w:r>
      <w:r w:rsidRPr="00833196">
        <w:rPr>
          <w:rFonts w:cs="Arial"/>
          <w:vertAlign w:val="superscript"/>
        </w:rPr>
        <w:t>3</w:t>
      </w:r>
      <w:r w:rsidRPr="00833196">
        <w:rPr>
          <w:rFonts w:cs="Arial"/>
        </w:rPr>
        <w:t xml:space="preserve"> et est difficilement visible à l’œil nu, justifier que l’échantillon est invisible. </w:t>
      </w:r>
    </w:p>
    <w:p w:rsidR="00833196" w:rsidRDefault="00852AD1" w:rsidP="00833196">
      <w:pPr>
        <w:spacing w:after="0" w:line="240" w:lineRule="auto"/>
        <w:ind w:left="426"/>
        <w:jc w:val="center"/>
        <w:rPr>
          <w:rFonts w:cs="Arial"/>
        </w:rPr>
      </w:pPr>
    </w:p>
    <w:p w:rsidR="006446DF" w:rsidRPr="00E25F2A" w:rsidRDefault="00852AD1" w:rsidP="00E25F2A">
      <w:pPr>
        <w:spacing w:after="0" w:line="240" w:lineRule="auto"/>
        <w:rPr>
          <w:rFonts w:cs="Arial"/>
        </w:rPr>
      </w:pPr>
      <w:r>
        <w:br w:type="page"/>
      </w:r>
    </w:p>
    <w:p w:rsidR="00346237" w:rsidRDefault="00852AD1" w:rsidP="00346237">
      <w:pPr>
        <w:spacing w:after="240"/>
        <w:jc w:val="center"/>
        <w:rPr>
          <w:b/>
          <w:sz w:val="28"/>
          <w:u w:val="single"/>
        </w:rPr>
      </w:pPr>
      <w:r w:rsidRPr="00B317F9">
        <w:rPr>
          <w:b/>
          <w:sz w:val="32"/>
          <w:u w:val="single"/>
        </w:rPr>
        <w:lastRenderedPageBreak/>
        <w:t>Document réponse à rendre avec la copie</w:t>
      </w:r>
    </w:p>
    <w:p w:rsidR="00346237" w:rsidRDefault="00852AD1" w:rsidP="00346237">
      <w:pPr>
        <w:spacing w:after="120"/>
        <w:rPr>
          <w:b/>
          <w:sz w:val="28"/>
        </w:rPr>
      </w:pPr>
      <w:r>
        <w:rPr>
          <w:b/>
          <w:sz w:val="28"/>
        </w:rPr>
        <w:t xml:space="preserve">Exercice </w:t>
      </w:r>
      <w:r>
        <w:rPr>
          <w:b/>
          <w:sz w:val="28"/>
        </w:rPr>
        <w:t>3</w:t>
      </w:r>
    </w:p>
    <w:p w:rsidR="0030418E" w:rsidRDefault="00852AD1" w:rsidP="00346237">
      <w:pPr>
        <w:spacing w:after="240"/>
        <w:rPr>
          <w:b/>
          <w:sz w:val="28"/>
        </w:rPr>
      </w:pPr>
      <w:r>
        <w:rPr>
          <w:b/>
          <w:sz w:val="28"/>
        </w:rPr>
        <w:t>Un poison radioactif</w:t>
      </w:r>
    </w:p>
    <w:p w:rsidR="0016368D" w:rsidRPr="0030418E" w:rsidRDefault="00852AD1" w:rsidP="00346237">
      <w:pPr>
        <w:spacing w:after="240"/>
        <w:rPr>
          <w:rFonts w:cs="Arial"/>
          <w:sz w:val="28"/>
          <w:szCs w:val="28"/>
          <w:u w:val="single"/>
        </w:rPr>
      </w:pPr>
    </w:p>
    <w:p w:rsidR="00833196" w:rsidRDefault="00852AD1" w:rsidP="00833196">
      <w:pPr>
        <w:spacing w:after="0" w:line="240" w:lineRule="auto"/>
        <w:ind w:left="426"/>
        <w:jc w:val="center"/>
        <w:rPr>
          <w:rFonts w:cs="Arial"/>
        </w:rPr>
      </w:pPr>
    </w:p>
    <w:p w:rsidR="00833196" w:rsidRDefault="00852AD1" w:rsidP="0030418E">
      <w:pPr>
        <w:spacing w:after="0" w:line="240" w:lineRule="auto"/>
        <w:ind w:left="-426"/>
        <w:jc w:val="center"/>
        <w:rPr>
          <w:rFonts w:cs="Arial"/>
        </w:rPr>
      </w:pPr>
      <w:r w:rsidRPr="00833196">
        <w:rPr>
          <w:rFonts w:cs="Arial"/>
          <w:noProof/>
        </w:rPr>
        <w:drawing>
          <wp:inline distT="0" distB="0" distL="0" distR="0" wp14:anchorId="6A574A7F" wp14:editId="3973F23B">
            <wp:extent cx="5664200" cy="4900246"/>
            <wp:effectExtent l="0" t="0" r="0" b="0"/>
            <wp:docPr id="6" name="Graphique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26FF6" w:rsidRPr="00833196" w:rsidRDefault="00852AD1" w:rsidP="00833196">
      <w:pPr>
        <w:spacing w:after="0" w:line="240" w:lineRule="auto"/>
        <w:ind w:left="426"/>
        <w:rPr>
          <w:rFonts w:cs="Arial"/>
        </w:rPr>
      </w:pPr>
    </w:p>
    <w:p w:rsidR="00293D9A" w:rsidRPr="00833196" w:rsidRDefault="00852AD1" w:rsidP="00833196">
      <w:pPr>
        <w:pStyle w:val="Paragraphedeliste"/>
        <w:spacing w:after="0" w:line="240" w:lineRule="auto"/>
        <w:ind w:left="426"/>
        <w:rPr>
          <w:rFonts w:ascii="Arial" w:hAnsi="Arial" w:cs="Arial"/>
          <w:sz w:val="24"/>
          <w:szCs w:val="24"/>
        </w:rPr>
      </w:pPr>
    </w:p>
    <w:p w:rsidR="006446DF" w:rsidRPr="00833196" w:rsidRDefault="00852AD1" w:rsidP="00833196">
      <w:pPr>
        <w:pStyle w:val="Paragraphedeliste"/>
        <w:spacing w:after="0" w:line="240" w:lineRule="auto"/>
        <w:ind w:left="426"/>
        <w:rPr>
          <w:rFonts w:ascii="Arial" w:hAnsi="Arial" w:cs="Arial"/>
          <w:sz w:val="24"/>
          <w:szCs w:val="24"/>
        </w:rPr>
      </w:pPr>
    </w:p>
    <w:sectPr w:rsidR="006446DF" w:rsidRPr="00833196" w:rsidSect="00E61EB3">
      <w:headerReference w:type="even" r:id="rId16"/>
      <w:headerReference w:type="default" r:id="rId17"/>
      <w:footerReference w:type="even" r:id="rId18"/>
      <w:footerReference w:type="default" r:id="rId19"/>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8"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52AD1" w:rsidRPr="00852AD1">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52AD1" w:rsidRPr="00852AD1">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52AD1" w:rsidRPr="00852AD1">
      <w:rPr>
        <w:noProof/>
        <w:color w:val="000000" w:themeColor="text1"/>
        <w:sz w:val="20"/>
      </w:rPr>
      <w:t>11</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52AD1" w:rsidRPr="00852AD1">
      <w:rPr>
        <w:noProof/>
        <w:color w:val="000000" w:themeColor="text1"/>
        <w:sz w:val="20"/>
      </w:rPr>
      <w:t>11</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0"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9"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3B36"/>
    <w:multiLevelType w:val="hybridMultilevel"/>
    <w:tmpl w:val="35BA6976"/>
    <w:lvl w:ilvl="0" w:tplc="6CC2ED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2AD1"/>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chart" Target="charts/chart2.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hart" Target="charts/chart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fr-FR" sz="1500" b="0" strike="noStrike" spc="-1">
                <a:solidFill>
                  <a:srgbClr val="000000"/>
                </a:solidFill>
                <a:latin typeface="Arial"/>
              </a:defRPr>
            </a:pPr>
            <a:r>
              <a:rPr lang="fr-FR" sz="1500" b="0" strike="noStrike" spc="-1">
                <a:solidFill>
                  <a:srgbClr val="000000"/>
                </a:solidFill>
                <a:latin typeface="Arial"/>
              </a:rPr>
              <a:t>Courbe de décroissance d'un</a:t>
            </a:r>
            <a:r>
              <a:rPr lang="fr-FR" sz="1500" b="0" strike="noStrike" spc="-1" baseline="0">
                <a:solidFill>
                  <a:srgbClr val="000000"/>
                </a:solidFill>
                <a:latin typeface="Arial"/>
              </a:rPr>
              <a:t> échantillon de </a:t>
            </a:r>
            <a:r>
              <a:rPr lang="fr-FR" sz="1500" b="0" strike="noStrike" spc="-1">
                <a:solidFill>
                  <a:srgbClr val="000000"/>
                </a:solidFill>
                <a:latin typeface="Arial"/>
              </a:rPr>
              <a:t> polonium 210</a:t>
            </a:r>
          </a:p>
        </c:rich>
      </c:tx>
      <c:layout/>
      <c:overlay val="0"/>
      <c:spPr>
        <a:noFill/>
        <a:ln>
          <a:noFill/>
        </a:ln>
      </c:spPr>
    </c:title>
    <c:autoTitleDeleted val="0"/>
    <c:plotArea>
      <c:layout/>
      <c:scatterChart>
        <c:scatterStyle val="lineMarker"/>
        <c:varyColors val="0"/>
        <c:ser>
          <c:idx val="0"/>
          <c:order val="0"/>
          <c:tx>
            <c:strRef>
              <c:f>label 0</c:f>
              <c:strCache>
                <c:ptCount val="1"/>
                <c:pt idx="0">
                  <c:v>Colonne B</c:v>
                </c:pt>
              </c:strCache>
            </c:strRef>
          </c:tx>
          <c:spPr>
            <a:ln w="28800">
              <a:solidFill>
                <a:srgbClr val="000000"/>
              </a:solidFill>
              <a:round/>
            </a:ln>
          </c:spPr>
          <c:marker>
            <c:symbol val="square"/>
            <c:size val="3"/>
            <c:spPr>
              <a:solidFill>
                <a:srgbClr val="000000"/>
              </a:solidFill>
            </c:spPr>
          </c:marker>
          <c:dLbls>
            <c:spPr>
              <a:noFill/>
              <a:ln>
                <a:noFill/>
              </a:ln>
              <a:effectLst/>
            </c:spPr>
            <c:txPr>
              <a:bodyPr/>
              <a:lstStyle/>
              <a:p>
                <a:pPr>
                  <a:defRPr lang="fr-FR" sz="1000" b="0" strike="noStrike" spc="-1">
                    <a:solidFill>
                      <a:srgbClr val="000000"/>
                    </a:solidFill>
                    <a:latin typeface="Arial"/>
                  </a:defRPr>
                </a:pPr>
                <a:endParaRPr lang="fr-FR"/>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xVal>
            <c:numRef>
              <c:f>1</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numCache>
            </c:numRef>
          </c:xVal>
          <c:yVal>
            <c:numRef>
              <c:f>0</c:f>
              <c:numCache>
                <c:formatCode>General</c:formatCode>
                <c:ptCount val="52"/>
                <c:pt idx="0">
                  <c:v>5.74</c:v>
                </c:pt>
                <c:pt idx="1">
                  <c:v>5.45880122795531</c:v>
                </c:pt>
                <c:pt idx="2">
                  <c:v>5.1913781962241003</c:v>
                </c:pt>
                <c:pt idx="3">
                  <c:v>4.9370560404753601</c:v>
                </c:pt>
                <c:pt idx="4">
                  <c:v>4.6951929575315399</c:v>
                </c:pt>
                <c:pt idx="5">
                  <c:v>4.4651785857247903</c:v>
                </c:pt>
                <c:pt idx="6">
                  <c:v>4.24643246459829</c:v>
                </c:pt>
                <c:pt idx="7">
                  <c:v>4.0384025700659301</c:v>
                </c:pt>
                <c:pt idx="8">
                  <c:v>3.84056392133341</c:v>
                </c:pt>
                <c:pt idx="9">
                  <c:v>3.6524172560654402</c:v>
                </c:pt>
                <c:pt idx="10">
                  <c:v>3.47348777045561</c:v>
                </c:pt>
                <c:pt idx="11">
                  <c:v>3.3033239210193099</c:v>
                </c:pt>
                <c:pt idx="12">
                  <c:v>3.1414962850861201</c:v>
                </c:pt>
                <c:pt idx="13">
                  <c:v>2.9875964771158801</c:v>
                </c:pt>
                <c:pt idx="14">
                  <c:v>2.84123611810368</c:v>
                </c:pt>
                <c:pt idx="15">
                  <c:v>2.7020458554730502</c:v>
                </c:pt>
                <c:pt idx="16">
                  <c:v>2.5696744309839401</c:v>
                </c:pt>
                <c:pt idx="17">
                  <c:v>2.44378779430322</c:v>
                </c:pt>
                <c:pt idx="18">
                  <c:v>2.3240682600008098</c:v>
                </c:pt>
                <c:pt idx="19">
                  <c:v>2.2102137058439602</c:v>
                </c:pt>
                <c:pt idx="20">
                  <c:v>2.10193681036667</c:v>
                </c:pt>
                <c:pt idx="21">
                  <c:v>1.9989643277899001</c:v>
                </c:pt>
                <c:pt idx="22">
                  <c:v>1.90103639846313</c:v>
                </c:pt>
                <c:pt idx="23">
                  <c:v>1.8079058930868099</c:v>
                </c:pt>
                <c:pt idx="24">
                  <c:v>1.71933778906096</c:v>
                </c:pt>
                <c:pt idx="25">
                  <c:v>1.6351085773860501</c:v>
                </c:pt>
                <c:pt idx="26">
                  <c:v>1.5550056986193701</c:v>
                </c:pt>
                <c:pt idx="27">
                  <c:v>1.47882700646358</c:v>
                </c:pt>
                <c:pt idx="28">
                  <c:v>1.4063802576336</c:v>
                </c:pt>
                <c:pt idx="29">
                  <c:v>1.3374826267147</c:v>
                </c:pt>
                <c:pt idx="30">
                  <c:v>1.2719602447873</c:v>
                </c:pt>
                <c:pt idx="31">
                  <c:v>1.20964776065422</c:v>
                </c:pt>
                <c:pt idx="32">
                  <c:v>1.15038792356318</c:v>
                </c:pt>
                <c:pt idx="33">
                  <c:v>1.0940311863713701</c:v>
                </c:pt>
                <c:pt idx="34">
                  <c:v>1.0404353281507699</c:v>
                </c:pt>
                <c:pt idx="35">
                  <c:v>0.98946509528179505</c:v>
                </c:pt>
                <c:pt idx="36">
                  <c:v>0.940991860129473</c:v>
                </c:pt>
                <c:pt idx="37">
                  <c:v>0.894893296440891</c:v>
                </c:pt>
                <c:pt idx="38">
                  <c:v>0.85105307064468805</c:v>
                </c:pt>
                <c:pt idx="39">
                  <c:v>0.80936054827358095</c:v>
                </c:pt>
                <c:pt idx="40">
                  <c:v>0.76971051476906005</c:v>
                </c:pt>
                <c:pt idx="41">
                  <c:v>0.73200290996366801</c:v>
                </c:pt>
                <c:pt idx="42">
                  <c:v>0.69614257557082404</c:v>
                </c:pt>
                <c:pt idx="43">
                  <c:v>0.662039015044945</c:v>
                </c:pt>
                <c:pt idx="44">
                  <c:v>0.62960616520586499</c:v>
                </c:pt>
                <c:pt idx="45">
                  <c:v>0.59876217905122098</c:v>
                </c:pt>
                <c:pt idx="46">
                  <c:v>0.56942921920871103</c:v>
                </c:pt>
                <c:pt idx="47">
                  <c:v>0.54153326150699299</c:v>
                </c:pt>
                <c:pt idx="48">
                  <c:v>0.51500390816951502</c:v>
                </c:pt>
                <c:pt idx="49">
                  <c:v>0.48977421015984901</c:v>
                </c:pt>
                <c:pt idx="50">
                  <c:v>0.465780498230213</c:v>
                </c:pt>
                <c:pt idx="51">
                  <c:v>0.44296222224681497</c:v>
                </c:pt>
              </c:numCache>
            </c:numRef>
          </c:yVal>
          <c:smooth val="0"/>
          <c:extLst>
            <c:ext xmlns:c16="http://schemas.microsoft.com/office/drawing/2014/chart" uri="{C3380CC4-5D6E-409C-BE32-E72D297353CC}">
              <c16:uniqueId val="{00000000-E087-4BD8-9407-3C59D4EBA15B}"/>
            </c:ext>
          </c:extLst>
        </c:ser>
        <c:dLbls>
          <c:showLegendKey val="0"/>
          <c:showVal val="0"/>
          <c:showCatName val="0"/>
          <c:showSerName val="0"/>
          <c:showPercent val="0"/>
          <c:showBubbleSize val="0"/>
        </c:dLbls>
        <c:axId val="257656704"/>
        <c:axId val="257659504"/>
      </c:scatterChart>
      <c:valAx>
        <c:axId val="257656704"/>
        <c:scaling>
          <c:orientation val="minMax"/>
          <c:max val="550"/>
          <c:min val="0"/>
        </c:scaling>
        <c:delete val="0"/>
        <c:axPos val="b"/>
        <c:title>
          <c:tx>
            <c:rich>
              <a:bodyPr rot="0"/>
              <a:lstStyle/>
              <a:p>
                <a:pPr>
                  <a:defRPr lang="fr-FR" sz="1300" b="0" strike="noStrike" spc="-1">
                    <a:solidFill>
                      <a:srgbClr val="000000"/>
                    </a:solidFill>
                    <a:latin typeface="Arial"/>
                  </a:defRPr>
                </a:pPr>
                <a:r>
                  <a:rPr lang="fr-FR" sz="1300" b="0" strike="noStrike" spc="-1">
                    <a:solidFill>
                      <a:srgbClr val="000000"/>
                    </a:solidFill>
                    <a:latin typeface="Arial"/>
                  </a:rPr>
                  <a:t>durée en jour</a:t>
                </a:r>
              </a:p>
            </c:rich>
          </c:tx>
          <c:layout>
            <c:manualLayout>
              <c:xMode val="edge"/>
              <c:yMode val="edge"/>
              <c:x val="0.79515580065224734"/>
              <c:y val="0.8743820224719101"/>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57659504"/>
        <c:crosses val="autoZero"/>
        <c:crossBetween val="midCat"/>
        <c:majorUnit val="50"/>
      </c:valAx>
      <c:valAx>
        <c:axId val="257659504"/>
        <c:scaling>
          <c:orientation val="minMax"/>
        </c:scaling>
        <c:delete val="0"/>
        <c:axPos val="l"/>
        <c:majorGridlines>
          <c:spPr>
            <a:ln w="6480">
              <a:solidFill>
                <a:srgbClr val="B3B3B3"/>
              </a:solidFill>
              <a:round/>
            </a:ln>
          </c:spPr>
        </c:majorGridlines>
        <c:title>
          <c:tx>
            <c:rich>
              <a:bodyPr rot="-5400000"/>
              <a:lstStyle/>
              <a:p>
                <a:pPr>
                  <a:defRPr lang="fr-FR" sz="1300" b="0" strike="noStrike" spc="-1">
                    <a:solidFill>
                      <a:srgbClr val="000000"/>
                    </a:solidFill>
                    <a:latin typeface="Arial"/>
                  </a:defRPr>
                </a:pPr>
                <a:r>
                  <a:rPr lang="fr-FR" sz="1300" b="0" strike="noStrike" spc="-1">
                    <a:solidFill>
                      <a:srgbClr val="000000"/>
                    </a:solidFill>
                    <a:latin typeface="Arial"/>
                  </a:rPr>
                  <a:t>Nombre d'atomes restants (</a:t>
                </a:r>
                <a:r>
                  <a:rPr lang="fr-FR" sz="1300" b="0" strike="noStrike" spc="-1">
                    <a:solidFill>
                      <a:srgbClr val="000000"/>
                    </a:solidFill>
                    <a:latin typeface="Arial" panose="020B0604020202020204" pitchFamily="34" charset="0"/>
                    <a:cs typeface="Arial" panose="020B0604020202020204" pitchFamily="34" charset="0"/>
                  </a:rPr>
                  <a:t>×</a:t>
                </a:r>
                <a:r>
                  <a:rPr lang="fr-FR" sz="1300" b="0" strike="noStrike" spc="-1">
                    <a:solidFill>
                      <a:srgbClr val="000000"/>
                    </a:solidFill>
                    <a:latin typeface="Arial"/>
                  </a:rPr>
                  <a:t>10</a:t>
                </a:r>
                <a:r>
                  <a:rPr lang="fr-FR" sz="1300" b="0" strike="noStrike" spc="-1" baseline="30000">
                    <a:solidFill>
                      <a:srgbClr val="000000"/>
                    </a:solidFill>
                    <a:latin typeface="Arial"/>
                  </a:rPr>
                  <a:t>16</a:t>
                </a:r>
                <a:r>
                  <a:rPr lang="fr-FR" sz="1300" b="0" strike="noStrike" spc="-1">
                    <a:solidFill>
                      <a:srgbClr val="000000"/>
                    </a:solidFill>
                    <a:latin typeface="Arial"/>
                  </a:rPr>
                  <a:t>)</a:t>
                </a:r>
              </a:p>
            </c:rich>
          </c:tx>
          <c:layout>
            <c:manualLayout>
              <c:xMode val="edge"/>
              <c:yMode val="edge"/>
              <c:x val="2.4253114320361591E-2"/>
              <c:y val="0.16292134831460675"/>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57656704"/>
        <c:crosses val="autoZero"/>
        <c:crossBetween val="midCat"/>
      </c:valAx>
      <c:spPr>
        <a:noFill/>
        <a:ln>
          <a:solidFill>
            <a:srgbClr val="B3B3B3"/>
          </a:solidFill>
        </a:ln>
      </c:spPr>
    </c:plotArea>
    <c:plotVisOnly val="1"/>
    <c:dispBlanksAs val="span"/>
    <c:showDLblsOverMax val="1"/>
  </c:chart>
  <c:spPr>
    <a:solidFill>
      <a:srgbClr val="FFFFFF"/>
    </a:solidFill>
    <a:ln>
      <a:noFill/>
    </a:ln>
  </c:sp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a:lstStyle/>
          <a:p>
            <a:pPr>
              <a:defRPr lang="fr-FR" sz="1500" b="0" strike="noStrike" spc="-1">
                <a:solidFill>
                  <a:srgbClr val="000000"/>
                </a:solidFill>
                <a:latin typeface="Arial"/>
              </a:defRPr>
            </a:pPr>
            <a:r>
              <a:rPr lang="fr-FR" sz="1500" b="0" strike="noStrike" spc="-1">
                <a:solidFill>
                  <a:srgbClr val="000000"/>
                </a:solidFill>
                <a:latin typeface="Arial"/>
              </a:rPr>
              <a:t>Courbe de décroissance</a:t>
            </a:r>
            <a:br>
              <a:rPr lang="fr-FR" sz="1500" b="0" strike="noStrike" spc="-1">
                <a:solidFill>
                  <a:srgbClr val="000000"/>
                </a:solidFill>
                <a:latin typeface="Arial"/>
              </a:rPr>
            </a:br>
            <a:r>
              <a:rPr lang="fr-FR" sz="1500" b="0" strike="noStrike" spc="-1">
                <a:solidFill>
                  <a:srgbClr val="000000"/>
                </a:solidFill>
                <a:latin typeface="Arial"/>
              </a:rPr>
              <a:t>d'un échantillon</a:t>
            </a:r>
            <a:r>
              <a:rPr lang="fr-FR" sz="1500" b="0" strike="noStrike" spc="-1" baseline="0">
                <a:solidFill>
                  <a:srgbClr val="000000"/>
                </a:solidFill>
                <a:latin typeface="Arial"/>
              </a:rPr>
              <a:t> de </a:t>
            </a:r>
            <a:r>
              <a:rPr lang="fr-FR" sz="1500" b="0" strike="noStrike" spc="-1">
                <a:solidFill>
                  <a:srgbClr val="000000"/>
                </a:solidFill>
                <a:latin typeface="Arial"/>
              </a:rPr>
              <a:t>polonium 210</a:t>
            </a:r>
          </a:p>
        </c:rich>
      </c:tx>
      <c:layout/>
      <c:overlay val="0"/>
      <c:spPr>
        <a:noFill/>
        <a:ln>
          <a:noFill/>
        </a:ln>
      </c:spPr>
    </c:title>
    <c:autoTitleDeleted val="0"/>
    <c:plotArea>
      <c:layout>
        <c:manualLayout>
          <c:layoutTarget val="inner"/>
          <c:xMode val="edge"/>
          <c:yMode val="edge"/>
          <c:x val="0.10259153984675683"/>
          <c:y val="0.18271857923497267"/>
          <c:w val="0.8540452314536916"/>
          <c:h val="0.64997714168925602"/>
        </c:manualLayout>
      </c:layout>
      <c:scatterChart>
        <c:scatterStyle val="lineMarker"/>
        <c:varyColors val="0"/>
        <c:ser>
          <c:idx val="0"/>
          <c:order val="0"/>
          <c:tx>
            <c:strRef>
              <c:f>label 0</c:f>
              <c:strCache>
                <c:ptCount val="1"/>
                <c:pt idx="0">
                  <c:v>Colonne B</c:v>
                </c:pt>
              </c:strCache>
            </c:strRef>
          </c:tx>
          <c:spPr>
            <a:ln w="28800">
              <a:solidFill>
                <a:srgbClr val="000000"/>
              </a:solidFill>
              <a:round/>
            </a:ln>
          </c:spPr>
          <c:marker>
            <c:symbol val="square"/>
            <c:size val="3"/>
            <c:spPr>
              <a:solidFill>
                <a:srgbClr val="000000"/>
              </a:solidFill>
            </c:spPr>
          </c:marker>
          <c:dLbls>
            <c:spPr>
              <a:noFill/>
              <a:ln>
                <a:noFill/>
              </a:ln>
              <a:effectLst/>
            </c:spPr>
            <c:txPr>
              <a:bodyPr/>
              <a:lstStyle/>
              <a:p>
                <a:pPr>
                  <a:defRPr lang="fr-FR" sz="1000" b="0" strike="noStrike" spc="-1">
                    <a:solidFill>
                      <a:srgbClr val="000000"/>
                    </a:solidFill>
                    <a:latin typeface="Arial"/>
                  </a:defRPr>
                </a:pPr>
                <a:endParaRPr lang="fr-FR"/>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xVal>
            <c:numRef>
              <c:f>1</c:f>
              <c:numCache>
                <c:formatCode>General</c:formatCode>
                <c:ptCount val="52"/>
                <c:pt idx="0">
                  <c:v>0</c:v>
                </c:pt>
                <c:pt idx="1">
                  <c:v>10</c:v>
                </c:pt>
                <c:pt idx="2">
                  <c:v>20</c:v>
                </c:pt>
                <c:pt idx="3">
                  <c:v>30</c:v>
                </c:pt>
                <c:pt idx="4">
                  <c:v>40</c:v>
                </c:pt>
                <c:pt idx="5">
                  <c:v>50</c:v>
                </c:pt>
                <c:pt idx="6">
                  <c:v>60</c:v>
                </c:pt>
                <c:pt idx="7">
                  <c:v>70</c:v>
                </c:pt>
                <c:pt idx="8">
                  <c:v>80</c:v>
                </c:pt>
                <c:pt idx="9">
                  <c:v>90</c:v>
                </c:pt>
                <c:pt idx="10">
                  <c:v>100</c:v>
                </c:pt>
                <c:pt idx="11">
                  <c:v>110</c:v>
                </c:pt>
                <c:pt idx="12">
                  <c:v>120</c:v>
                </c:pt>
                <c:pt idx="13">
                  <c:v>130</c:v>
                </c:pt>
                <c:pt idx="14">
                  <c:v>140</c:v>
                </c:pt>
                <c:pt idx="15">
                  <c:v>150</c:v>
                </c:pt>
                <c:pt idx="16">
                  <c:v>160</c:v>
                </c:pt>
                <c:pt idx="17">
                  <c:v>170</c:v>
                </c:pt>
                <c:pt idx="18">
                  <c:v>180</c:v>
                </c:pt>
                <c:pt idx="19">
                  <c:v>190</c:v>
                </c:pt>
                <c:pt idx="20">
                  <c:v>200</c:v>
                </c:pt>
                <c:pt idx="21">
                  <c:v>210</c:v>
                </c:pt>
                <c:pt idx="22">
                  <c:v>220</c:v>
                </c:pt>
                <c:pt idx="23">
                  <c:v>230</c:v>
                </c:pt>
                <c:pt idx="24">
                  <c:v>240</c:v>
                </c:pt>
                <c:pt idx="25">
                  <c:v>250</c:v>
                </c:pt>
                <c:pt idx="26">
                  <c:v>260</c:v>
                </c:pt>
                <c:pt idx="27">
                  <c:v>270</c:v>
                </c:pt>
                <c:pt idx="28">
                  <c:v>280</c:v>
                </c:pt>
                <c:pt idx="29">
                  <c:v>290</c:v>
                </c:pt>
                <c:pt idx="30">
                  <c:v>300</c:v>
                </c:pt>
                <c:pt idx="31">
                  <c:v>310</c:v>
                </c:pt>
                <c:pt idx="32">
                  <c:v>320</c:v>
                </c:pt>
                <c:pt idx="33">
                  <c:v>330</c:v>
                </c:pt>
                <c:pt idx="34">
                  <c:v>340</c:v>
                </c:pt>
                <c:pt idx="35">
                  <c:v>350</c:v>
                </c:pt>
                <c:pt idx="36">
                  <c:v>360</c:v>
                </c:pt>
                <c:pt idx="37">
                  <c:v>370</c:v>
                </c:pt>
                <c:pt idx="38">
                  <c:v>380</c:v>
                </c:pt>
                <c:pt idx="39">
                  <c:v>390</c:v>
                </c:pt>
                <c:pt idx="40">
                  <c:v>400</c:v>
                </c:pt>
                <c:pt idx="41">
                  <c:v>410</c:v>
                </c:pt>
                <c:pt idx="42">
                  <c:v>420</c:v>
                </c:pt>
                <c:pt idx="43">
                  <c:v>430</c:v>
                </c:pt>
                <c:pt idx="44">
                  <c:v>440</c:v>
                </c:pt>
                <c:pt idx="45">
                  <c:v>450</c:v>
                </c:pt>
                <c:pt idx="46">
                  <c:v>460</c:v>
                </c:pt>
                <c:pt idx="47">
                  <c:v>470</c:v>
                </c:pt>
                <c:pt idx="48">
                  <c:v>480</c:v>
                </c:pt>
                <c:pt idx="49">
                  <c:v>490</c:v>
                </c:pt>
                <c:pt idx="50">
                  <c:v>500</c:v>
                </c:pt>
                <c:pt idx="51">
                  <c:v>510</c:v>
                </c:pt>
              </c:numCache>
            </c:numRef>
          </c:xVal>
          <c:yVal>
            <c:numRef>
              <c:f>0</c:f>
              <c:numCache>
                <c:formatCode>General</c:formatCode>
                <c:ptCount val="52"/>
                <c:pt idx="0">
                  <c:v>5.74</c:v>
                </c:pt>
                <c:pt idx="1">
                  <c:v>5.45880122795531</c:v>
                </c:pt>
                <c:pt idx="2">
                  <c:v>5.1913781962241003</c:v>
                </c:pt>
                <c:pt idx="3">
                  <c:v>4.9370560404753601</c:v>
                </c:pt>
                <c:pt idx="4">
                  <c:v>4.6951929575315399</c:v>
                </c:pt>
                <c:pt idx="5">
                  <c:v>4.4651785857247903</c:v>
                </c:pt>
                <c:pt idx="6">
                  <c:v>4.24643246459829</c:v>
                </c:pt>
                <c:pt idx="7">
                  <c:v>4.0384025700659301</c:v>
                </c:pt>
                <c:pt idx="8">
                  <c:v>3.84056392133341</c:v>
                </c:pt>
                <c:pt idx="9">
                  <c:v>3.6524172560654402</c:v>
                </c:pt>
                <c:pt idx="10">
                  <c:v>3.47348777045561</c:v>
                </c:pt>
                <c:pt idx="11">
                  <c:v>3.3033239210193099</c:v>
                </c:pt>
                <c:pt idx="12">
                  <c:v>3.1414962850861201</c:v>
                </c:pt>
                <c:pt idx="13">
                  <c:v>2.9875964771158801</c:v>
                </c:pt>
                <c:pt idx="14">
                  <c:v>2.84123611810368</c:v>
                </c:pt>
                <c:pt idx="15">
                  <c:v>2.7020458554730502</c:v>
                </c:pt>
                <c:pt idx="16">
                  <c:v>2.5696744309839401</c:v>
                </c:pt>
                <c:pt idx="17">
                  <c:v>2.44378779430322</c:v>
                </c:pt>
                <c:pt idx="18">
                  <c:v>2.3240682600008098</c:v>
                </c:pt>
                <c:pt idx="19">
                  <c:v>2.2102137058439602</c:v>
                </c:pt>
                <c:pt idx="20">
                  <c:v>2.10193681036667</c:v>
                </c:pt>
                <c:pt idx="21">
                  <c:v>1.9989643277899001</c:v>
                </c:pt>
                <c:pt idx="22">
                  <c:v>1.90103639846313</c:v>
                </c:pt>
                <c:pt idx="23">
                  <c:v>1.8079058930868099</c:v>
                </c:pt>
                <c:pt idx="24">
                  <c:v>1.71933778906096</c:v>
                </c:pt>
                <c:pt idx="25">
                  <c:v>1.6351085773860501</c:v>
                </c:pt>
                <c:pt idx="26">
                  <c:v>1.5550056986193701</c:v>
                </c:pt>
                <c:pt idx="27">
                  <c:v>1.47882700646358</c:v>
                </c:pt>
                <c:pt idx="28">
                  <c:v>1.4063802576336</c:v>
                </c:pt>
                <c:pt idx="29">
                  <c:v>1.3374826267147</c:v>
                </c:pt>
                <c:pt idx="30">
                  <c:v>1.2719602447873</c:v>
                </c:pt>
                <c:pt idx="31">
                  <c:v>1.20964776065422</c:v>
                </c:pt>
                <c:pt idx="32">
                  <c:v>1.15038792356318</c:v>
                </c:pt>
                <c:pt idx="33">
                  <c:v>1.0940311863713701</c:v>
                </c:pt>
                <c:pt idx="34">
                  <c:v>1.0404353281507699</c:v>
                </c:pt>
                <c:pt idx="35">
                  <c:v>0.98946509528179505</c:v>
                </c:pt>
                <c:pt idx="36">
                  <c:v>0.940991860129473</c:v>
                </c:pt>
                <c:pt idx="37">
                  <c:v>0.894893296440891</c:v>
                </c:pt>
                <c:pt idx="38">
                  <c:v>0.85105307064468805</c:v>
                </c:pt>
                <c:pt idx="39">
                  <c:v>0.80936054827358095</c:v>
                </c:pt>
                <c:pt idx="40">
                  <c:v>0.76971051476906005</c:v>
                </c:pt>
                <c:pt idx="41">
                  <c:v>0.73200290996366801</c:v>
                </c:pt>
                <c:pt idx="42">
                  <c:v>0.69614257557082404</c:v>
                </c:pt>
                <c:pt idx="43">
                  <c:v>0.662039015044945</c:v>
                </c:pt>
                <c:pt idx="44">
                  <c:v>0.62960616520586499</c:v>
                </c:pt>
                <c:pt idx="45">
                  <c:v>0.59876217905122098</c:v>
                </c:pt>
                <c:pt idx="46">
                  <c:v>0.56942921920871103</c:v>
                </c:pt>
                <c:pt idx="47">
                  <c:v>0.54153326150699299</c:v>
                </c:pt>
                <c:pt idx="48">
                  <c:v>0.51500390816951502</c:v>
                </c:pt>
                <c:pt idx="49">
                  <c:v>0.48977421015984901</c:v>
                </c:pt>
                <c:pt idx="50">
                  <c:v>0.465780498230213</c:v>
                </c:pt>
                <c:pt idx="51">
                  <c:v>0.44296222224681497</c:v>
                </c:pt>
              </c:numCache>
            </c:numRef>
          </c:yVal>
          <c:smooth val="0"/>
          <c:extLst>
            <c:ext xmlns:c16="http://schemas.microsoft.com/office/drawing/2014/chart" uri="{C3380CC4-5D6E-409C-BE32-E72D297353CC}">
              <c16:uniqueId val="{00000000-E6F6-4306-B464-594112ED746A}"/>
            </c:ext>
          </c:extLst>
        </c:ser>
        <c:dLbls>
          <c:showLegendKey val="0"/>
          <c:showVal val="0"/>
          <c:showCatName val="0"/>
          <c:showSerName val="0"/>
          <c:showPercent val="0"/>
          <c:showBubbleSize val="0"/>
        </c:dLbls>
        <c:axId val="249344864"/>
        <c:axId val="249342624"/>
      </c:scatterChart>
      <c:valAx>
        <c:axId val="249344864"/>
        <c:scaling>
          <c:orientation val="minMax"/>
          <c:max val="550"/>
          <c:min val="0"/>
        </c:scaling>
        <c:delete val="0"/>
        <c:axPos val="b"/>
        <c:title>
          <c:tx>
            <c:rich>
              <a:bodyPr rot="0"/>
              <a:lstStyle/>
              <a:p>
                <a:pPr>
                  <a:defRPr lang="fr-FR" sz="1300" b="0" strike="noStrike" spc="-1">
                    <a:solidFill>
                      <a:srgbClr val="000000"/>
                    </a:solidFill>
                    <a:latin typeface="Arial"/>
                  </a:defRPr>
                </a:pPr>
                <a:r>
                  <a:rPr lang="fr-FR" sz="1300" b="0" strike="noStrike" spc="-1">
                    <a:solidFill>
                      <a:srgbClr val="000000"/>
                    </a:solidFill>
                    <a:latin typeface="Arial"/>
                  </a:rPr>
                  <a:t>durée en jours</a:t>
                </a:r>
              </a:p>
            </c:rich>
          </c:tx>
          <c:layout>
            <c:manualLayout>
              <c:xMode val="edge"/>
              <c:yMode val="edge"/>
              <c:x val="0.80177028637598224"/>
              <c:y val="0.86988764044943823"/>
            </c:manualLayout>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49342624"/>
        <c:crosses val="autoZero"/>
        <c:crossBetween val="midCat"/>
        <c:majorUnit val="50"/>
      </c:valAx>
      <c:valAx>
        <c:axId val="249342624"/>
        <c:scaling>
          <c:orientation val="minMax"/>
        </c:scaling>
        <c:delete val="0"/>
        <c:axPos val="l"/>
        <c:majorGridlines>
          <c:spPr>
            <a:ln w="6480">
              <a:solidFill>
                <a:srgbClr val="B3B3B3"/>
              </a:solidFill>
              <a:round/>
            </a:ln>
          </c:spPr>
        </c:majorGridlines>
        <c:title>
          <c:tx>
            <c:rich>
              <a:bodyPr rot="-5400000"/>
              <a:lstStyle/>
              <a:p>
                <a:pPr>
                  <a:defRPr lang="fr-FR" sz="1300" b="0" strike="noStrike" spc="-1">
                    <a:solidFill>
                      <a:srgbClr val="000000"/>
                    </a:solidFill>
                    <a:latin typeface="Arial"/>
                  </a:defRPr>
                </a:pPr>
                <a:r>
                  <a:rPr lang="fr-FR" sz="1400" b="0" i="0" baseline="0">
                    <a:effectLst/>
                  </a:rPr>
                  <a:t>Nombre d'atomes restants (×10</a:t>
                </a:r>
                <a:r>
                  <a:rPr lang="fr-FR" sz="1400" b="0" i="0" baseline="30000">
                    <a:effectLst/>
                  </a:rPr>
                  <a:t>16</a:t>
                </a:r>
                <a:r>
                  <a:rPr lang="fr-FR" sz="1400" b="0" i="0" baseline="0">
                    <a:effectLst/>
                  </a:rPr>
                  <a:t>)</a:t>
                </a:r>
                <a:endParaRPr lang="fr-FR" sz="1100">
                  <a:effectLst/>
                </a:endParaRPr>
              </a:p>
            </c:rich>
          </c:tx>
          <c:layout/>
          <c:overlay val="0"/>
          <c:spPr>
            <a:noFill/>
            <a:ln>
              <a:noFill/>
            </a:ln>
          </c:spPr>
        </c:title>
        <c:numFmt formatCode="General" sourceLinked="0"/>
        <c:majorTickMark val="out"/>
        <c:minorTickMark val="none"/>
        <c:tickLblPos val="nextTo"/>
        <c:spPr>
          <a:ln w="6480">
            <a:solidFill>
              <a:srgbClr val="B3B3B3"/>
            </a:solidFill>
            <a:round/>
          </a:ln>
        </c:spPr>
        <c:txPr>
          <a:bodyPr/>
          <a:lstStyle/>
          <a:p>
            <a:pPr>
              <a:defRPr lang="fr-FR" sz="1000" b="0" strike="noStrike" spc="-1">
                <a:solidFill>
                  <a:srgbClr val="000000"/>
                </a:solidFill>
                <a:latin typeface="Arial"/>
              </a:defRPr>
            </a:pPr>
            <a:endParaRPr lang="fr-FR"/>
          </a:p>
        </c:txPr>
        <c:crossAx val="249344864"/>
        <c:crosses val="autoZero"/>
        <c:crossBetween val="midCat"/>
      </c:valAx>
      <c:spPr>
        <a:noFill/>
        <a:ln w="25400">
          <a:noFill/>
        </a:ln>
      </c:spPr>
    </c:plotArea>
    <c:plotVisOnly val="1"/>
    <c:dispBlanksAs val="span"/>
    <c:showDLblsOverMax val="1"/>
  </c:chart>
  <c:spPr>
    <a:solidFill>
      <a:srgbClr val="FFFFFF"/>
    </a:solidFill>
    <a:ln>
      <a:noFill/>
    </a:ln>
  </c:spPr>
</c:chartSpac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4A624B-9CC0-4122-83AF-87CB78FBF0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1688</Words>
  <Characters>9287</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